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2D3E" w14:textId="497D3C34" w:rsidR="00E37146" w:rsidRDefault="00E37146">
      <w:r>
        <w:t>Enfoque literario forma escrita</w:t>
      </w:r>
    </w:p>
    <w:p w14:paraId="71B7040A" w14:textId="7331739A" w:rsidR="00E37146" w:rsidRDefault="00E37146">
      <w:r>
        <w:t>1. División que se hace en los libros y en cualquier otro escrito para el mejor orden y más fácil comprensión de la materia</w:t>
      </w:r>
    </w:p>
    <w:sectPr w:rsidR="00E37146" w:rsidSect="00E3714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4BF"/>
    <w:rsid w:val="004B4C26"/>
    <w:rsid w:val="007504BF"/>
    <w:rsid w:val="00AA43E3"/>
    <w:rsid w:val="00B048CC"/>
    <w:rsid w:val="00E3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8CE7"/>
  <w15:chartTrackingRefBased/>
  <w15:docId w15:val="{0EAEC85C-DF1A-42D3-ACCD-DEF53C44B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4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4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4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4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4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4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4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4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4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4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2025-08-28T04:27:00Z</dcterms:created>
  <dcterms:modified xsi:type="dcterms:W3CDTF">2025-08-28T04:28:00Z</dcterms:modified>
</cp:coreProperties>
</file>