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BDC2" w14:textId="0EDE8C4D" w:rsidR="001C5CA6" w:rsidRDefault="00D63E1B">
      <w:r>
        <w:t>Enfoque general</w:t>
      </w:r>
    </w:p>
    <w:p w14:paraId="7BEC6D1B" w14:textId="673F0164" w:rsidR="00D63E1B" w:rsidRDefault="00D63E1B">
      <w:r>
        <w:t>1. Conjunto de aparatos y programas que constituyen un sistema informático</w:t>
      </w:r>
    </w:p>
    <w:sectPr w:rsidR="00D63E1B" w:rsidSect="009442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A6"/>
    <w:rsid w:val="001C5CA6"/>
    <w:rsid w:val="0094420D"/>
    <w:rsid w:val="00A30F48"/>
    <w:rsid w:val="00D6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721D4"/>
  <w15:chartTrackingRefBased/>
  <w15:docId w15:val="{B8ACAFA4-196B-4021-AA3E-E1FE82F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C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C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C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C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C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C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2025-09-10T22:48:00Z</dcterms:created>
  <dcterms:modified xsi:type="dcterms:W3CDTF">2025-09-10T22:48:00Z</dcterms:modified>
</cp:coreProperties>
</file>