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F245" w14:textId="2165599D" w:rsidR="00B048CC" w:rsidRDefault="00C41676">
      <w:r>
        <w:t>Enfoque lingüístico general</w:t>
      </w:r>
    </w:p>
    <w:p w14:paraId="4DBF7D23" w14:textId="0B9F6195" w:rsidR="00C41676" w:rsidRDefault="00C41676">
      <w:r>
        <w:t>1. Frase puede significar sintagma o su definición más general en estos tiempos de la misma forma que ‘phrases’ (grupo de palabras o un solo elemento)</w:t>
      </w:r>
    </w:p>
    <w:sectPr w:rsidR="00C41676" w:rsidSect="00C4167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097"/>
    <w:rsid w:val="0058056B"/>
    <w:rsid w:val="00715097"/>
    <w:rsid w:val="00AA43E3"/>
    <w:rsid w:val="00B048CC"/>
    <w:rsid w:val="00C4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D957"/>
  <w15:chartTrackingRefBased/>
  <w15:docId w15:val="{6E6E0B7D-C1E6-4B2A-AF79-0103BB3B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5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50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5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5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5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50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50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5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2025-08-31T17:58:00Z</dcterms:created>
  <dcterms:modified xsi:type="dcterms:W3CDTF">2025-08-31T18:00:00Z</dcterms:modified>
</cp:coreProperties>
</file>