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770E" w14:textId="220D8F3E" w:rsidR="00536BBA" w:rsidRDefault="00305A3B">
      <w:r>
        <w:t>0 introducción</w:t>
      </w:r>
    </w:p>
    <w:p w14:paraId="290FBAFB" w14:textId="1DB80A2B" w:rsidR="00305A3B" w:rsidRDefault="00305A3B">
      <w:r>
        <w:t>1 modelo clásico-intuitivo</w:t>
      </w:r>
    </w:p>
    <w:sectPr w:rsidR="00305A3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88"/>
    <w:rsid w:val="001168ED"/>
    <w:rsid w:val="00305A3B"/>
    <w:rsid w:val="00536BBA"/>
    <w:rsid w:val="006A3388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C4BC0"/>
  <w15:chartTrackingRefBased/>
  <w15:docId w15:val="{5F04917F-E973-4214-9CEE-6FE281BF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2026-02-19T22:55:00Z</dcterms:created>
  <dcterms:modified xsi:type="dcterms:W3CDTF">2026-02-19T22:55:00Z</dcterms:modified>
</cp:coreProperties>
</file>