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600" w:right="600" w:firstLine="0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Script for Video: Digital Courage – Setting Boundaries &amp; Showing Up Safely Online EN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Women are not equally welcome in online spaces — and that is not a personal problem. It is a structural one.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Research shows that one in two women who experience online harassment end up posting less, staying silent, making themselves smaller. This lesson is about doing the opposite.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Online power gaps are real — and they are gendered. Recognizing this as a systemic issue, not a personal failure, is the foundation of digital courage.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One of the most powerful skills you can build: the difference between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responding</w:t>
      </w:r>
      <w:r w:rsidDel="00000000" w:rsidR="00000000" w:rsidRPr="00000000">
        <w:rPr>
          <w:color w:val="222222"/>
          <w:highlight w:val="white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reacting</w:t>
      </w:r>
      <w:r w:rsidDel="00000000" w:rsidR="00000000" w:rsidRPr="00000000">
        <w:rPr>
          <w:color w:val="222222"/>
          <w:highlight w:val="white"/>
          <w:rtl w:val="0"/>
        </w:rPr>
        <w:t xml:space="preserve">. A response is intentional. A reaction is automatic. That's something you can practice.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Showing up safely online is both a skill and a right. Your voice belongs in digital spaces.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Let's start with what's actually happening — and what you can do about it.</w:t>
      </w:r>
    </w:p>
    <w:p w:rsidR="00000000" w:rsidDel="00000000" w:rsidP="00000000" w:rsidRDefault="00000000" w:rsidRPr="00000000" w14:paraId="0000000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