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p>
    <w:p>
      <w:pPr>
        <w:keepNext w:val="false"/>
        <w:spacing w:line="360" w:before="0" w:after="160"/>
        <w:jc w:val="center"/>
      </w:pPr>
      <w:r>
        <w:rPr>
          <w:rFonts w:ascii="黑体" w:cs="黑体" w:eastAsia="黑体" w:hAnsi="黑体"/>
          <w:b/>
          <w:bCs/>
          <w:sz w:val="44"/>
          <w:szCs w:val="44"/>
        </w:rPr>
        <w:t xml:space="preserve">设备及工艺生产实习综合性作业</w:t>
      </w:r>
    </w:p>
    <w:p>
      <w:pPr>
        <w:keepNext w:val="false"/>
        <w:spacing w:line="360" w:before="0" w:after="500"/>
        <w:jc w:val="center"/>
      </w:pPr>
      <w:r>
        <w:rPr>
          <w:rFonts w:ascii="黑体" w:cs="黑体" w:eastAsia="黑体" w:hAnsi="黑体"/>
          <w:b/>
          <w:bCs/>
          <w:sz w:val="36"/>
          <w:szCs w:val="36"/>
        </w:rPr>
        <w:t xml:space="preserve">食品酿造企业优化方案设计</w:t>
      </w:r>
    </w:p>
    <w:p>
      <w:pPr>
        <w:keepNext w:val="false"/>
        <w:spacing w:line="360" w:before="0" w:after="0"/>
        <w:jc w:val="center"/>
      </w:pPr>
      <w:r>
        <w:rPr>
          <w:rFonts w:ascii="黑体" w:cs="黑体" w:eastAsia="黑体" w:hAnsi="黑体"/>
          <w:b/>
          <w:bCs/>
          <w:sz w:val="32"/>
          <w:szCs w:val="32"/>
        </w:rPr>
        <w:t xml:space="preserve">山西杏花村汾酒集团清香型白酒酿造</w:t>
      </w:r>
    </w:p>
    <w:p>
      <w:pPr>
        <w:keepNext w:val="false"/>
        <w:spacing w:line="360" w:before="0" w:after="600"/>
        <w:jc w:val="center"/>
      </w:pPr>
      <w:r>
        <w:rPr>
          <w:rFonts w:ascii="黑体" w:cs="黑体" w:eastAsia="黑体" w:hAnsi="黑体"/>
          <w:b/>
          <w:bCs/>
          <w:sz w:val="32"/>
          <w:szCs w:val="32"/>
        </w:rPr>
        <w:t xml:space="preserve">智能化与节能优化方案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rHeight w:val="620" w:hRule="atLeast"/>
        </w:trPr>
        <w:tc>
          <w:tcPr>
            <w:tcW w:type="dxa" w:w="2500"/>
            <w:tcBorders>
              <w:top w:val="none" w:color="FFFFFF" w:sz="0"/>
              <w:left w:val="none" w:color="FFFFFF" w:sz="0"/>
              <w:bottom w:val="none" w:color="FFFFFF" w:sz="0"/>
              <w:right w:val="none" w:color="FFFFFF" w:sz="0"/>
            </w:tcBorders>
            <w:vAlign w:val="center"/>
          </w:tcPr>
          <w:p>
            <w:pPr>
              <w:spacing w:before="20" w:after="20" w:line="240"/>
              <w:jc w:val="right"/>
            </w:pPr>
            <w:r>
              <w:rPr>
                <w:rFonts w:ascii="宋体" w:cs="宋体" w:eastAsia="宋体" w:hAnsi="宋体"/>
                <w:b w:val="false"/>
                <w:bCs w:val="false"/>
                <w:sz w:val="28"/>
                <w:szCs w:val="28"/>
              </w:rPr>
              <w:t xml:space="preserve">作业题目：</w:t>
            </w:r>
          </w:p>
        </w:tc>
        <w:tc>
          <w:tcPr>
            <w:tcW w:type="dxa" w:w="6500"/>
            <w:tcBorders>
              <w:top w:val="none" w:color="FFFFFF" w:sz="0"/>
              <w:left w:val="none" w:color="FFFFFF" w:sz="0"/>
              <w:bottom w:val="single" w:color="000000" w:sz="4"/>
              <w:right w:val="none" w:color="FFFFFF" w:sz="0"/>
            </w:tcBorders>
            <w:vAlign w:val="center"/>
          </w:tcPr>
          <w:p>
            <w:pPr>
              <w:spacing w:before="20" w:after="20" w:line="240"/>
              <w:jc w:val="left"/>
            </w:pPr>
            <w:r>
              <w:rPr>
                <w:rFonts w:ascii="宋体" w:cs="宋体" w:eastAsia="宋体" w:hAnsi="宋体"/>
                <w:b w:val="false"/>
                <w:bCs w:val="false"/>
                <w:sz w:val="28"/>
                <w:szCs w:val="28"/>
              </w:rPr>
              <w:t xml:space="preserve">山西杏花村汾酒集团清香型白酒酿造智能化与节能优化方案</w:t>
            </w:r>
          </w:p>
        </w:tc>
      </w:tr>
      <w:tr>
        <w:trPr>
          <w:trHeight w:val="620" w:hRule="atLeast"/>
        </w:trPr>
        <w:tc>
          <w:tcPr>
            <w:tcW w:type="dxa" w:w="2500"/>
            <w:tcBorders>
              <w:top w:val="none" w:color="FFFFFF" w:sz="0"/>
              <w:left w:val="none" w:color="FFFFFF" w:sz="0"/>
              <w:bottom w:val="none" w:color="FFFFFF" w:sz="0"/>
              <w:right w:val="none" w:color="FFFFFF" w:sz="0"/>
            </w:tcBorders>
            <w:vAlign w:val="center"/>
          </w:tcPr>
          <w:p>
            <w:pPr>
              <w:spacing w:before="20" w:after="20" w:line="240"/>
              <w:jc w:val="right"/>
            </w:pPr>
            <w:r>
              <w:rPr>
                <w:rFonts w:ascii="宋体" w:cs="宋体" w:eastAsia="宋体" w:hAnsi="宋体"/>
                <w:b w:val="false"/>
                <w:bCs w:val="false"/>
                <w:sz w:val="28"/>
                <w:szCs w:val="28"/>
              </w:rPr>
              <w:t xml:space="preserve">学生姓名：</w:t>
            </w:r>
          </w:p>
        </w:tc>
        <w:tc>
          <w:tcPr>
            <w:tcW w:type="dxa" w:w="6500"/>
            <w:tcBorders>
              <w:top w:val="none" w:color="FFFFFF" w:sz="0"/>
              <w:left w:val="none" w:color="FFFFFF" w:sz="0"/>
              <w:bottom w:val="single" w:color="000000" w:sz="4"/>
              <w:right w:val="none" w:color="FFFFFF" w:sz="0"/>
            </w:tcBorders>
            <w:vAlign w:val="center"/>
          </w:tcPr>
          <w:p>
            <w:pPr>
              <w:spacing w:before="20" w:after="20" w:line="240"/>
              <w:jc w:val="left"/>
            </w:pPr>
            <w:r>
              <w:rPr>
                <w:rFonts w:ascii="宋体" w:cs="宋体" w:eastAsia="宋体" w:hAnsi="宋体"/>
                <w:b w:val="false"/>
                <w:bCs w:val="false"/>
                <w:sz w:val="28"/>
                <w:szCs w:val="28"/>
              </w:rPr>
              <w:t xml:space="preserve">吴宏吉</w:t>
            </w:r>
          </w:p>
        </w:tc>
      </w:tr>
      <w:tr>
        <w:trPr>
          <w:trHeight w:val="620" w:hRule="atLeast"/>
        </w:trPr>
        <w:tc>
          <w:tcPr>
            <w:tcW w:type="dxa" w:w="2500"/>
            <w:tcBorders>
              <w:top w:val="none" w:color="FFFFFF" w:sz="0"/>
              <w:left w:val="none" w:color="FFFFFF" w:sz="0"/>
              <w:bottom w:val="none" w:color="FFFFFF" w:sz="0"/>
              <w:right w:val="none" w:color="FFFFFF" w:sz="0"/>
            </w:tcBorders>
            <w:vAlign w:val="center"/>
          </w:tcPr>
          <w:p>
            <w:pPr>
              <w:spacing w:before="20" w:after="20" w:line="240"/>
              <w:jc w:val="right"/>
            </w:pPr>
            <w:r>
              <w:rPr>
                <w:rFonts w:ascii="宋体" w:cs="宋体" w:eastAsia="宋体" w:hAnsi="宋体"/>
                <w:b w:val="false"/>
                <w:bCs w:val="false"/>
                <w:sz w:val="28"/>
                <w:szCs w:val="28"/>
              </w:rPr>
              <w:t xml:space="preserve">学    号：</w:t>
            </w:r>
          </w:p>
        </w:tc>
        <w:tc>
          <w:tcPr>
            <w:tcW w:type="dxa" w:w="6500"/>
            <w:tcBorders>
              <w:top w:val="none" w:color="FFFFFF" w:sz="0"/>
              <w:left w:val="none" w:color="FFFFFF" w:sz="0"/>
              <w:bottom w:val="single" w:color="000000" w:sz="4"/>
              <w:right w:val="none" w:color="FFFFFF" w:sz="0"/>
            </w:tcBorders>
            <w:vAlign w:val="center"/>
          </w:tcPr>
          <w:p>
            <w:pPr>
              <w:spacing w:before="20" w:after="20" w:line="240"/>
              <w:jc w:val="left"/>
            </w:pPr>
            <w:r>
              <w:rPr>
                <w:rFonts w:ascii="宋体" w:cs="宋体" w:eastAsia="宋体" w:hAnsi="宋体"/>
                <w:b w:val="false"/>
                <w:bCs w:val="false"/>
                <w:sz w:val="28"/>
                <w:szCs w:val="28"/>
              </w:rPr>
              <w:t xml:space="preserve">202301305127</w:t>
            </w:r>
          </w:p>
        </w:tc>
      </w:tr>
      <w:tr>
        <w:trPr>
          <w:trHeight w:val="620" w:hRule="atLeast"/>
        </w:trPr>
        <w:tc>
          <w:tcPr>
            <w:tcW w:type="dxa" w:w="2500"/>
            <w:tcBorders>
              <w:top w:val="none" w:color="FFFFFF" w:sz="0"/>
              <w:left w:val="none" w:color="FFFFFF" w:sz="0"/>
              <w:bottom w:val="none" w:color="FFFFFF" w:sz="0"/>
              <w:right w:val="none" w:color="FFFFFF" w:sz="0"/>
            </w:tcBorders>
            <w:vAlign w:val="center"/>
          </w:tcPr>
          <w:p>
            <w:pPr>
              <w:spacing w:before="20" w:after="20" w:line="240"/>
              <w:jc w:val="right"/>
            </w:pPr>
            <w:r>
              <w:rPr>
                <w:rFonts w:ascii="宋体" w:cs="宋体" w:eastAsia="宋体" w:hAnsi="宋体"/>
                <w:b w:val="false"/>
                <w:bCs w:val="false"/>
                <w:sz w:val="28"/>
                <w:szCs w:val="28"/>
              </w:rPr>
              <w:t xml:space="preserve">班    级：</w:t>
            </w:r>
          </w:p>
        </w:tc>
        <w:tc>
          <w:tcPr>
            <w:tcW w:type="dxa" w:w="6500"/>
            <w:tcBorders>
              <w:top w:val="none" w:color="FFFFFF" w:sz="0"/>
              <w:left w:val="none" w:color="FFFFFF" w:sz="0"/>
              <w:bottom w:val="single" w:color="000000" w:sz="4"/>
              <w:right w:val="none" w:color="FFFFFF" w:sz="0"/>
            </w:tcBorders>
            <w:vAlign w:val="center"/>
          </w:tcPr>
          <w:p>
            <w:pPr>
              <w:spacing w:before="20" w:after="20" w:line="240"/>
              <w:jc w:val="left"/>
            </w:pPr>
            <w:r>
              <w:rPr>
                <w:rFonts w:ascii="宋体" w:cs="宋体" w:eastAsia="宋体" w:hAnsi="宋体"/>
                <w:b w:val="false"/>
                <w:bCs w:val="false"/>
                <w:sz w:val="28"/>
                <w:szCs w:val="28"/>
              </w:rPr>
              <w:t xml:space="preserve">2023级食品科学与工程（酿造方向）</w:t>
            </w:r>
          </w:p>
        </w:tc>
      </w:tr>
      <w:tr>
        <w:trPr>
          <w:trHeight w:val="620" w:hRule="atLeast"/>
        </w:trPr>
        <w:tc>
          <w:tcPr>
            <w:tcW w:type="dxa" w:w="2500"/>
            <w:tcBorders>
              <w:top w:val="none" w:color="FFFFFF" w:sz="0"/>
              <w:left w:val="none" w:color="FFFFFF" w:sz="0"/>
              <w:bottom w:val="none" w:color="FFFFFF" w:sz="0"/>
              <w:right w:val="none" w:color="FFFFFF" w:sz="0"/>
            </w:tcBorders>
            <w:vAlign w:val="center"/>
          </w:tcPr>
          <w:p>
            <w:pPr>
              <w:spacing w:before="20" w:after="20" w:line="240"/>
              <w:jc w:val="right"/>
            </w:pPr>
            <w:r>
              <w:rPr>
                <w:rFonts w:ascii="宋体" w:cs="宋体" w:eastAsia="宋体" w:hAnsi="宋体"/>
                <w:b w:val="false"/>
                <w:bCs w:val="false"/>
                <w:sz w:val="28"/>
                <w:szCs w:val="28"/>
              </w:rPr>
              <w:t xml:space="preserve">实习企业：</w:t>
            </w:r>
          </w:p>
        </w:tc>
        <w:tc>
          <w:tcPr>
            <w:tcW w:type="dxa" w:w="6500"/>
            <w:tcBorders>
              <w:top w:val="none" w:color="FFFFFF" w:sz="0"/>
              <w:left w:val="none" w:color="FFFFFF" w:sz="0"/>
              <w:bottom w:val="single" w:color="000000" w:sz="4"/>
              <w:right w:val="none" w:color="FFFFFF" w:sz="0"/>
            </w:tcBorders>
            <w:vAlign w:val="center"/>
          </w:tcPr>
          <w:p>
            <w:pPr>
              <w:spacing w:before="20" w:after="20" w:line="240"/>
              <w:jc w:val="left"/>
            </w:pPr>
            <w:r>
              <w:rPr>
                <w:rFonts w:ascii="宋体" w:cs="宋体" w:eastAsia="宋体" w:hAnsi="宋体"/>
                <w:b w:val="false"/>
                <w:bCs w:val="false"/>
                <w:sz w:val="28"/>
                <w:szCs w:val="28"/>
              </w:rPr>
              <w:t xml:space="preserve">山西杏花村汾酒集团有限责任公司</w:t>
            </w:r>
          </w:p>
        </w:tc>
      </w:tr>
      <w:tr>
        <w:trPr>
          <w:trHeight w:val="620" w:hRule="atLeast"/>
        </w:trPr>
        <w:tc>
          <w:tcPr>
            <w:tcW w:type="dxa" w:w="2500"/>
            <w:tcBorders>
              <w:top w:val="none" w:color="FFFFFF" w:sz="0"/>
              <w:left w:val="none" w:color="FFFFFF" w:sz="0"/>
              <w:bottom w:val="none" w:color="FFFFFF" w:sz="0"/>
              <w:right w:val="none" w:color="FFFFFF" w:sz="0"/>
            </w:tcBorders>
            <w:vAlign w:val="center"/>
          </w:tcPr>
          <w:p>
            <w:pPr>
              <w:spacing w:before="20" w:after="20" w:line="240"/>
              <w:jc w:val="right"/>
            </w:pPr>
            <w:r>
              <w:rPr>
                <w:rFonts w:ascii="宋体" w:cs="宋体" w:eastAsia="宋体" w:hAnsi="宋体"/>
                <w:b w:val="false"/>
                <w:bCs w:val="false"/>
                <w:sz w:val="28"/>
                <w:szCs w:val="28"/>
              </w:rPr>
              <w:t xml:space="preserve">指导教师：</w:t>
            </w:r>
          </w:p>
        </w:tc>
        <w:tc>
          <w:tcPr>
            <w:tcW w:type="dxa" w:w="6500"/>
            <w:tcBorders>
              <w:top w:val="none" w:color="FFFFFF" w:sz="0"/>
              <w:left w:val="none" w:color="FFFFFF" w:sz="0"/>
              <w:bottom w:val="single" w:color="000000" w:sz="4"/>
              <w:right w:val="none" w:color="FFFFFF" w:sz="0"/>
            </w:tcBorders>
            <w:vAlign w:val="center"/>
          </w:tcPr>
          <w:p>
            <w:pPr>
              <w:spacing w:before="20" w:after="20" w:line="240"/>
              <w:jc w:val="left"/>
            </w:pPr>
            <w:r>
              <w:rPr>
                <w:rFonts w:ascii="宋体" w:cs="宋体" w:eastAsia="宋体" w:hAnsi="宋体"/>
                <w:b w:val="false"/>
                <w:bCs w:val="false"/>
                <w:sz w:val="28"/>
                <w:szCs w:val="28"/>
              </w:rPr>
              <w:t xml:space="preserve">薄涛</w:t>
            </w:r>
          </w:p>
        </w:tc>
      </w:tr>
      <w:tr>
        <w:trPr>
          <w:trHeight w:val="620" w:hRule="atLeast"/>
        </w:trPr>
        <w:tc>
          <w:tcPr>
            <w:tcW w:type="dxa" w:w="2500"/>
            <w:tcBorders>
              <w:top w:val="none" w:color="FFFFFF" w:sz="0"/>
              <w:left w:val="none" w:color="FFFFFF" w:sz="0"/>
              <w:bottom w:val="none" w:color="FFFFFF" w:sz="0"/>
              <w:right w:val="none" w:color="FFFFFF" w:sz="0"/>
            </w:tcBorders>
            <w:vAlign w:val="center"/>
          </w:tcPr>
          <w:p>
            <w:pPr>
              <w:spacing w:before="20" w:after="20" w:line="240"/>
              <w:jc w:val="right"/>
            </w:pPr>
            <w:r>
              <w:rPr>
                <w:rFonts w:ascii="宋体" w:cs="宋体" w:eastAsia="宋体" w:hAnsi="宋体"/>
                <w:b w:val="false"/>
                <w:bCs w:val="false"/>
                <w:sz w:val="28"/>
                <w:szCs w:val="28"/>
              </w:rPr>
              <w:t xml:space="preserve">提交日期：</w:t>
            </w:r>
          </w:p>
        </w:tc>
        <w:tc>
          <w:tcPr>
            <w:tcW w:type="dxa" w:w="6500"/>
            <w:tcBorders>
              <w:top w:val="none" w:color="FFFFFF" w:sz="0"/>
              <w:left w:val="none" w:color="FFFFFF" w:sz="0"/>
              <w:bottom w:val="single" w:color="000000" w:sz="4"/>
              <w:right w:val="none" w:color="FFFFFF" w:sz="0"/>
            </w:tcBorders>
            <w:vAlign w:val="center"/>
          </w:tcPr>
          <w:p>
            <w:pPr>
              <w:spacing w:before="20" w:after="20" w:line="240"/>
              <w:jc w:val="left"/>
            </w:pPr>
            <w:r>
              <w:rPr>
                <w:rFonts w:ascii="宋体" w:cs="宋体" w:eastAsia="宋体" w:hAnsi="宋体"/>
                <w:b w:val="false"/>
                <w:bCs w:val="false"/>
                <w:sz w:val="28"/>
                <w:szCs w:val="28"/>
              </w:rPr>
              <w:t xml:space="preserve">2026年7月10日</w:t>
            </w:r>
          </w:p>
        </w:tc>
      </w:tr>
    </w:tbl>
    <w:p>
      <w:pPr>
        <w:spacing w:before="600"/>
      </w:pPr>
    </w:p>
    <w:p>
      <w:pPr>
        <w:keepNext w:val="false"/>
        <w:spacing w:line="360" w:before="0" w:after="80"/>
        <w:jc w:val="center"/>
      </w:pPr>
      <w:r>
        <w:rPr>
          <w:rFonts w:ascii="黑体" w:cs="黑体" w:eastAsia="黑体" w:hAnsi="黑体"/>
          <w:b/>
          <w:bCs/>
          <w:sz w:val="32"/>
          <w:szCs w:val="32"/>
        </w:rPr>
        <w:t xml:space="preserve">山西大学</w:t>
      </w:r>
    </w:p>
    <w:p>
      <w:pPr>
        <w:keepNext w:val="false"/>
        <w:spacing w:line="360" w:before="0" w:after="0"/>
        <w:jc w:val="center"/>
      </w:pPr>
      <w:r>
        <w:rPr>
          <w:rFonts w:ascii="宋体" w:cs="宋体" w:eastAsia="宋体" w:hAnsi="宋体"/>
          <w:b w:val="false"/>
          <w:bCs w:val="false"/>
          <w:sz w:val="28"/>
          <w:szCs w:val="28"/>
        </w:rPr>
        <w:t xml:space="preserve">2026年7月</w:t>
      </w:r>
    </w:p>
    <w:p>
      <w:pPr>
        <w:sectPr>
          <w:type w:val="nextPage"/>
          <w:pgSz w:w="11906" w:h="16838" w:orient="portrait"/>
          <w:pgMar w:top="1440" w:right="1800" w:bottom="1440" w:left="1800" w:header="708" w:footer="708" w:gutter="0"/>
          <w:pgNumType/>
          <w:docGrid w:linePitch="360"/>
        </w:sectPr>
      </w:pPr>
    </w:p>
    <w:p>
      <w:pPr>
        <w:pStyle w:val="Heading1"/>
        <w:keepNext/>
        <w:spacing w:line="360" w:before="200" w:after="100"/>
        <w:jc w:val="left"/>
      </w:pPr>
      <w:r>
        <w:rPr>
          <w:rFonts w:ascii="黑体" w:cs="黑体" w:eastAsia="黑体" w:hAnsi="黑体"/>
          <w:b/>
          <w:bCs/>
          <w:sz w:val="32"/>
          <w:szCs w:val="32"/>
        </w:rPr>
        <w:t xml:space="preserve">摘  要</w:t>
      </w:r>
    </w:p>
    <w:p>
      <w:pPr>
        <w:keepNext w:val="false"/>
        <w:spacing w:line="360" w:before="0" w:after="0"/>
        <w:ind w:firstLine="480"/>
        <w:jc w:val="both"/>
      </w:pPr>
      <w:r>
        <w:rPr>
          <w:rFonts w:ascii="宋体" w:cs="宋体" w:eastAsia="宋体" w:hAnsi="宋体"/>
          <w:b w:val="false"/>
          <w:bCs w:val="false"/>
          <w:sz w:val="24"/>
          <w:szCs w:val="24"/>
        </w:rPr>
        <w:t xml:space="preserve">本方案以设备及工艺生产实习中参观的山西杏花村汾酒集团有限责任公司为对象，围绕清香型白酒“清蒸二次清、地缸固态发酵、清蒸流酒”的典型工艺，分析传统批次生产中存在的发酵状态感知滞后、蒸煮与蒸馏用汽波动大、地缸转运追溯依赖人工、清洗用水及高浓度有机废水负荷较高等问题。依据实习观察、物料与能量平衡方法，提出“数字化地缸—分级蒸汽与余热回收—智能蒸馏—水资源分质循环—批次质量追溯”一体化优化方案。方案以不改变清香型白酒核心风味和传统工艺边界为前提，通过无线温度监测、近红外快速检测、变频风机与蒸汽流量闭环控制、冷凝余热回收、CIP末道水回用及数据平台建设，提高工艺稳定性和资源利用效率。预期单位原酒综合蒸汽消耗降低15%左右、单位产品新鲜水耗降低20%、关键批次参数自动采集率达到95%以上、优级酒率提高3个百分点，并减少异常批次和废水排放。技术成熟、改造可分阶段实施，具有较好的经济、环境与推广价值。</w:t>
      </w:r>
    </w:p>
    <w:p>
      <w:pPr>
        <w:keepNext w:val="false"/>
        <w:spacing w:line="360" w:before="100" w:after="0"/>
        <w:jc w:val="left"/>
      </w:pPr>
      <w:r>
        <w:rPr>
          <w:rFonts w:ascii="宋体" w:cs="宋体" w:eastAsia="宋体" w:hAnsi="宋体"/>
          <w:b w:val="false"/>
          <w:bCs w:val="false"/>
          <w:sz w:val="24"/>
          <w:szCs w:val="24"/>
        </w:rPr>
        <w:t xml:space="preserve">关键词：清香型白酒；地缸发酵；智能蒸馏；余热回收；清洁生产</w:t>
      </w:r>
    </w:p>
    <w:p>
      <w:pPr>
        <w:pStyle w:val="Heading1"/>
        <w:keepNext/>
        <w:spacing w:line="360" w:before="200" w:after="100"/>
        <w:jc w:val="left"/>
      </w:pPr>
      <w:r>
        <w:rPr>
          <w:rFonts w:ascii="黑体" w:cs="黑体" w:eastAsia="黑体" w:hAnsi="黑体"/>
          <w:b/>
          <w:bCs/>
          <w:sz w:val="32"/>
          <w:szCs w:val="32"/>
        </w:rPr>
        <w:t xml:space="preserve">一、企业与生产工艺概况</w:t>
      </w:r>
    </w:p>
    <w:p>
      <w:pPr>
        <w:pStyle w:val="Heading2"/>
        <w:keepNext/>
        <w:spacing w:line="360" w:before="120" w:after="60"/>
        <w:jc w:val="left"/>
      </w:pPr>
      <w:r>
        <w:rPr>
          <w:rFonts w:ascii="黑体" w:cs="黑体" w:eastAsia="黑体" w:hAnsi="黑体"/>
          <w:b/>
          <w:bCs/>
          <w:sz w:val="30"/>
          <w:szCs w:val="30"/>
        </w:rPr>
        <w:t xml:space="preserve">（一）企业概况</w:t>
      </w:r>
    </w:p>
    <w:p>
      <w:pPr>
        <w:keepNext w:val="false"/>
        <w:spacing w:line="360" w:before="0" w:after="0"/>
        <w:ind w:firstLine="480"/>
        <w:jc w:val="both"/>
      </w:pPr>
      <w:r>
        <w:rPr>
          <w:rFonts w:ascii="宋体" w:cs="宋体" w:eastAsia="宋体" w:hAnsi="宋体"/>
          <w:b w:val="false"/>
          <w:bCs w:val="false"/>
          <w:sz w:val="24"/>
          <w:szCs w:val="24"/>
        </w:rPr>
        <w:t xml:space="preserve">山西杏花村汾酒集团有限责任公司位于山西省汾阳市杏花村，是我国清香型白酒的代表性企业。实习资料显示，杏花村地区酿酒历史悠久，汾酒酿制技艺列入第一批国家级非物质文化遗产名录。企业生产兼具传统工艺属性和现代规模化制造特征：一方面以高粱、大曲、地缸发酵等形成清香型白酒特有风格，另一方面通过原料检验、过程控制、分级贮存和包装追溯保证产品一致性。</w:t>
      </w:r>
    </w:p>
    <w:p>
      <w:pPr>
        <w:keepNext w:val="false"/>
        <w:spacing w:line="360" w:before="0" w:after="0"/>
        <w:ind w:firstLine="480"/>
        <w:jc w:val="both"/>
      </w:pPr>
      <w:r>
        <w:rPr>
          <w:rFonts w:ascii="宋体" w:cs="宋体" w:eastAsia="宋体" w:hAnsi="宋体"/>
          <w:b w:val="false"/>
          <w:bCs w:val="false"/>
          <w:sz w:val="24"/>
          <w:szCs w:val="24"/>
        </w:rPr>
        <w:t xml:space="preserve">本次优化选取酿造车间的原料处理、蒸煮糊化、加曲入缸、固态发酵、装甑蒸馏、原酒分级及公用工程作为研究边界。优化原则是“传统风味不变、食品安全底线不变、关键工艺可视、能源梯级利用、数据全程追溯”，不对核心曲种和地缸发酵制度作破坏性改变。</w:t>
      </w:r>
    </w:p>
    <w:p>
      <w:pPr>
        <w:pStyle w:val="Heading2"/>
        <w:keepNext/>
        <w:spacing w:line="360" w:before="120" w:after="60"/>
        <w:jc w:val="left"/>
      </w:pPr>
      <w:r>
        <w:rPr>
          <w:rFonts w:ascii="黑体" w:cs="黑体" w:eastAsia="黑体" w:hAnsi="黑体"/>
          <w:b/>
          <w:bCs/>
          <w:sz w:val="30"/>
          <w:szCs w:val="30"/>
        </w:rPr>
        <w:t xml:space="preserve">（二）主要产品与生产流程</w:t>
      </w:r>
    </w:p>
    <w:p>
      <w:pPr>
        <w:keepNext w:val="false"/>
        <w:spacing w:line="360" w:before="0" w:after="0"/>
        <w:ind w:firstLine="480"/>
        <w:jc w:val="both"/>
      </w:pPr>
      <w:r>
        <w:rPr>
          <w:rFonts w:ascii="宋体" w:cs="宋体" w:eastAsia="宋体" w:hAnsi="宋体"/>
          <w:b w:val="false"/>
          <w:bCs w:val="false"/>
          <w:sz w:val="24"/>
          <w:szCs w:val="24"/>
        </w:rPr>
        <w:t xml:space="preserve">企业主要产品为清香型白酒及其系列产品。典型工艺可概括为：高粱验收与除杂→粉碎→润糁→清蒸糊化→扬冷→加大曲→地缸发酵→出缸配醅→装甑→蒸馏摘酒→分级入库→陶坛或储罐陈贮→勾调→过滤→灌装。其核心特点是“清蒸二次清，一清到底”，即原辅料分别清蒸，粮醅经历两次发酵、两次蒸馏，完成一个生产轮次后清理再投新料。</w:t>
      </w:r>
    </w:p>
    <w:p>
      <w:pPr>
        <w:keepNext w:val="false"/>
        <w:spacing w:line="360" w:before="0" w:after="0"/>
        <w:ind w:firstLine="480"/>
        <w:jc w:val="both"/>
      </w:pPr>
      <w:r>
        <w:rPr>
          <w:rFonts w:ascii="宋体" w:cs="宋体" w:eastAsia="宋体" w:hAnsi="宋体"/>
          <w:b w:val="false"/>
          <w:bCs w:val="false"/>
          <w:sz w:val="24"/>
          <w:szCs w:val="24"/>
        </w:rPr>
        <w:t xml:space="preserve">地缸发酵使酒醅与土壤隔离，有利于控制杂菌并稳定传热；清茬曲、红心曲、后火曲等大曲协同提供糖化、发酵和生香微生物及酶系。装甑和蒸馏阶段遵循“轻、松、薄、匀、平、准”的操作要求，并根据酒度、流速、温度及感官实施掐头去尾、量质摘酒。上述过程决定了乙酸乙酯等主体香味成分及清香风格，是自动化改造必须尊重的工艺边界。</w:t>
      </w:r>
    </w:p>
    <w:p>
      <w:pPr>
        <w:pStyle w:val="Heading1"/>
        <w:keepNext/>
        <w:spacing w:line="360" w:before="200" w:after="100"/>
        <w:jc w:val="left"/>
      </w:pPr>
      <w:r>
        <w:rPr>
          <w:rFonts w:ascii="黑体" w:cs="黑体" w:eastAsia="黑体" w:hAnsi="黑体"/>
          <w:b/>
          <w:bCs/>
          <w:sz w:val="32"/>
          <w:szCs w:val="32"/>
        </w:rPr>
        <w:t xml:space="preserve">二、现状问题与原因分析</w:t>
      </w:r>
    </w:p>
    <w:p>
      <w:pPr>
        <w:pStyle w:val="Heading2"/>
        <w:keepNext/>
        <w:spacing w:line="360" w:before="120" w:after="60"/>
        <w:jc w:val="left"/>
      </w:pPr>
      <w:r>
        <w:rPr>
          <w:rFonts w:ascii="黑体" w:cs="黑体" w:eastAsia="黑体" w:hAnsi="黑体"/>
          <w:b/>
          <w:bCs/>
          <w:sz w:val="30"/>
          <w:szCs w:val="30"/>
        </w:rPr>
        <w:t xml:space="preserve">（一）地缸发酵监测离散，异常识别存在滞后</w:t>
      </w:r>
    </w:p>
    <w:p>
      <w:pPr>
        <w:keepNext w:val="false"/>
        <w:spacing w:line="360" w:before="0" w:after="0"/>
        <w:ind w:firstLine="480"/>
        <w:jc w:val="both"/>
      </w:pPr>
      <w:r>
        <w:rPr>
          <w:rFonts w:ascii="宋体" w:cs="宋体" w:eastAsia="宋体" w:hAnsi="宋体"/>
          <w:b w:val="false"/>
          <w:bCs w:val="false"/>
          <w:sz w:val="24"/>
          <w:szCs w:val="24"/>
        </w:rPr>
        <w:t xml:space="preserve">传统地缸发酵以入缸温度、酒醅水分、酸度和操作经验判断过程状态。规模扩大后，人工点测难以连续覆盖每一口地缸，纸面或分散电子记录也不利于跨批次比较。发酵过程中微生物代谢引起温度先升后降，升温速率、峰值温度和高温持续时间均能反映发酵强弱；若仅在固定时点抽测，可能错过异常峰值。异常发现过晚会造成残余淀粉偏高、酸度失衡、产酒率下降或风味偏离。</w:t>
      </w:r>
    </w:p>
    <w:p>
      <w:pPr>
        <w:pStyle w:val="Heading2"/>
        <w:keepNext/>
        <w:spacing w:line="360" w:before="120" w:after="60"/>
        <w:jc w:val="left"/>
      </w:pPr>
      <w:r>
        <w:rPr>
          <w:rFonts w:ascii="黑体" w:cs="黑体" w:eastAsia="黑体" w:hAnsi="黑体"/>
          <w:b/>
          <w:bCs/>
          <w:sz w:val="30"/>
          <w:szCs w:val="30"/>
        </w:rPr>
        <w:t xml:space="preserve">（二）蒸煮与蒸馏负荷波动，蒸汽利用效率偏低</w:t>
      </w:r>
    </w:p>
    <w:p>
      <w:pPr>
        <w:keepNext w:val="false"/>
        <w:spacing w:line="360" w:before="0" w:after="0"/>
        <w:ind w:firstLine="480"/>
        <w:jc w:val="both"/>
      </w:pPr>
      <w:r>
        <w:rPr>
          <w:rFonts w:ascii="宋体" w:cs="宋体" w:eastAsia="宋体" w:hAnsi="宋体"/>
          <w:b w:val="false"/>
          <w:bCs w:val="false"/>
          <w:sz w:val="24"/>
          <w:szCs w:val="24"/>
        </w:rPr>
        <w:t xml:space="preserve">润糁后的粮料蒸煮、甑桶蒸馏以及设备清洗均集中使用蒸汽。人工阀门调节容易出现升汽过快、压力波动和批次间用汽差异；冷凝水与酒汽冷凝释放的低品位热量如果直接排放，既增加锅炉补水和燃料需求，又会提高废水温度。以年产原酒10000 t的示范车间估算，若单位原酒综合蒸汽消耗约5.0 t/t，则年用汽约5万t；即使只回收10%的热量，也具有显著节能潜力。该数据为工程估算，正式实施前需以企业能源计量数据校核。</w:t>
      </w:r>
    </w:p>
    <w:p>
      <w:pPr>
        <w:pStyle w:val="Heading2"/>
        <w:keepNext/>
        <w:spacing w:line="360" w:before="120" w:after="60"/>
        <w:jc w:val="left"/>
      </w:pPr>
      <w:r>
        <w:rPr>
          <w:rFonts w:ascii="黑体" w:cs="黑体" w:eastAsia="黑体" w:hAnsi="黑体"/>
          <w:b/>
          <w:bCs/>
          <w:sz w:val="30"/>
          <w:szCs w:val="30"/>
        </w:rPr>
        <w:t xml:space="preserve">（三）装甑、摘酒依赖经验，批次一致性有提升空间</w:t>
      </w:r>
    </w:p>
    <w:p>
      <w:pPr>
        <w:keepNext w:val="false"/>
        <w:spacing w:line="360" w:before="0" w:after="0"/>
        <w:ind w:firstLine="480"/>
        <w:jc w:val="both"/>
      </w:pPr>
      <w:r>
        <w:rPr>
          <w:rFonts w:ascii="宋体" w:cs="宋体" w:eastAsia="宋体" w:hAnsi="宋体"/>
          <w:b w:val="false"/>
          <w:bCs w:val="false"/>
          <w:sz w:val="24"/>
          <w:szCs w:val="24"/>
        </w:rPr>
        <w:t xml:space="preserve">酒醅含水率、粒度、疏松度和装甑速度共同影响蒸汽在甑内的分布。操作不均会导致“跑汽”“压汽”和局部短路，使香味物质馏出次序变化。量质摘酒通常综合酒度、温度、流量与感官判断，优秀技师经验不可替代，但仅依赖个人经验会带来班组差异，且难以形成可复用的数据模型。将传感数据作为辅助决策而非替代品，可在传承工艺的同时提升稳定性。</w:t>
      </w:r>
    </w:p>
    <w:p>
      <w:pPr>
        <w:pStyle w:val="Heading2"/>
        <w:keepNext/>
        <w:spacing w:line="360" w:before="120" w:after="60"/>
        <w:jc w:val="left"/>
      </w:pPr>
      <w:r>
        <w:rPr>
          <w:rFonts w:ascii="黑体" w:cs="黑体" w:eastAsia="黑体" w:hAnsi="黑体"/>
          <w:b/>
          <w:bCs/>
          <w:sz w:val="30"/>
          <w:szCs w:val="30"/>
        </w:rPr>
        <w:t xml:space="preserve">（四）用水分级不足，废水水量与有机负荷较高</w:t>
      </w:r>
    </w:p>
    <w:p>
      <w:pPr>
        <w:keepNext w:val="false"/>
        <w:spacing w:line="360" w:before="0" w:after="0"/>
        <w:ind w:firstLine="480"/>
        <w:jc w:val="both"/>
      </w:pPr>
      <w:r>
        <w:rPr>
          <w:rFonts w:ascii="宋体" w:cs="宋体" w:eastAsia="宋体" w:hAnsi="宋体"/>
          <w:b w:val="false"/>
          <w:bCs w:val="false"/>
          <w:sz w:val="24"/>
          <w:szCs w:val="24"/>
        </w:rPr>
        <w:t xml:space="preserve">酿造车间用水包括原料工艺用水、设备与地面清洗、冷却补水等。不同水质要求的水流若混合使用，会造成优质新水被用于低等级清洗；甑底水、黄水、洗罐水等含有糖类、有机酸、醇类和悬浮物，集中进入污水系统会形成冲击负荷。若清污不分、冷热不分，既增加新鲜水耗，也削弱副产物回收和厌氧处理的稳定性。</w:t>
      </w:r>
    </w:p>
    <w:p>
      <w:pPr>
        <w:pStyle w:val="Heading2"/>
        <w:keepNext/>
        <w:spacing w:line="360" w:before="120" w:after="60"/>
        <w:jc w:val="left"/>
      </w:pPr>
      <w:r>
        <w:rPr>
          <w:rFonts w:ascii="黑体" w:cs="黑体" w:eastAsia="黑体" w:hAnsi="黑体"/>
          <w:b/>
          <w:bCs/>
          <w:sz w:val="30"/>
          <w:szCs w:val="30"/>
        </w:rPr>
        <w:t xml:space="preserve">（五）跨工序数据未完全贯通，追溯分析成本较高</w:t>
      </w:r>
    </w:p>
    <w:p>
      <w:pPr>
        <w:keepNext w:val="false"/>
        <w:spacing w:line="360" w:before="0" w:after="0"/>
        <w:ind w:firstLine="480"/>
        <w:jc w:val="both"/>
      </w:pPr>
      <w:r>
        <w:rPr>
          <w:rFonts w:ascii="宋体" w:cs="宋体" w:eastAsia="宋体" w:hAnsi="宋体"/>
          <w:b w:val="false"/>
          <w:bCs w:val="false"/>
          <w:sz w:val="24"/>
          <w:szCs w:val="24"/>
        </w:rPr>
        <w:t xml:space="preserve">原粮批次、大曲批次、润糁参数、地缸编号、发酵曲线、甑次、摘酒段和储存罐号之间具有天然关联。若条码、设备数据和检验数据未统一编码，发生质量波动时需要人工拼接记录，原因定位慢，经验难以沉淀为标准。行业智能制造实践表明，批次数据贯通是质量预测、设备预防性维护和能源精细管理的基础。</w:t>
      </w:r>
    </w:p>
    <w:p>
      <w:pPr>
        <w:pStyle w:val="Heading1"/>
        <w:keepNext/>
        <w:spacing w:line="360" w:before="200" w:after="100"/>
        <w:jc w:val="left"/>
      </w:pPr>
      <w:r>
        <w:rPr>
          <w:rFonts w:ascii="黑体" w:cs="黑体" w:eastAsia="黑体" w:hAnsi="黑体"/>
          <w:b/>
          <w:bCs/>
          <w:sz w:val="32"/>
          <w:szCs w:val="32"/>
        </w:rPr>
        <w:t xml:space="preserve">三、优化目标设定</w:t>
      </w:r>
    </w:p>
    <w:p>
      <w:pPr>
        <w:keepNext w:val="false"/>
        <w:spacing w:line="360" w:before="0" w:after="0"/>
        <w:ind w:firstLine="480"/>
        <w:jc w:val="both"/>
      </w:pPr>
      <w:r>
        <w:rPr>
          <w:rFonts w:ascii="宋体" w:cs="宋体" w:eastAsia="宋体" w:hAnsi="宋体"/>
          <w:b w:val="false"/>
          <w:bCs w:val="false"/>
          <w:sz w:val="24"/>
          <w:szCs w:val="24"/>
        </w:rPr>
        <w:t xml:space="preserve">以现状年度平均值为基准，拟在12个月示范运行期内实现表1所列目标。目标采用“可测量、可追溯、可分阶段验收”的原则，具体基线应在项目启动后的连续三个月内由企业实测确认。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200"/>
      </w:tblGrid>
      <w:tr>
        <w:trPr>
          <w:tblHeader/>
        </w:trPr>
        <w:tc>
          <w:tcPr>
            <w:tcW w:type="dxa" w:w="2400"/>
            <w:tcBorders>
              <w:top w:val="single" w:color="000000" w:sz="4"/>
              <w:left w:val="single" w:color="000000" w:sz="4"/>
              <w:bottom w:val="single" w:color="000000" w:sz="4"/>
              <w:right w:val="single" w:color="000000" w:sz="4"/>
            </w:tcBorders>
            <w:shd w:fill="E7E6E6" w:color="auto" w:val="clear"/>
            <w:vAlign w:val="center"/>
          </w:tcPr>
          <w:p>
            <w:pPr>
              <w:spacing w:before="20" w:after="20" w:line="240"/>
              <w:jc w:val="center"/>
            </w:pPr>
            <w:r>
              <w:rPr>
                <w:rFonts w:ascii="宋体" w:cs="宋体" w:eastAsia="宋体" w:hAnsi="宋体"/>
                <w:b/>
                <w:bCs/>
                <w:sz w:val="21"/>
                <w:szCs w:val="21"/>
              </w:rPr>
              <w:t xml:space="preserve">指标</w:t>
            </w:r>
          </w:p>
        </w:tc>
        <w:tc>
          <w:tcPr>
            <w:tcW w:type="dxa" w:w="1600"/>
            <w:tcBorders>
              <w:top w:val="single" w:color="000000" w:sz="4"/>
              <w:left w:val="single" w:color="000000" w:sz="4"/>
              <w:bottom w:val="single" w:color="000000" w:sz="4"/>
              <w:right w:val="single" w:color="000000" w:sz="4"/>
            </w:tcBorders>
            <w:shd w:fill="E7E6E6" w:color="auto" w:val="clear"/>
            <w:vAlign w:val="center"/>
          </w:tcPr>
          <w:p>
            <w:pPr>
              <w:spacing w:before="20" w:after="20" w:line="240"/>
              <w:jc w:val="center"/>
            </w:pPr>
            <w:r>
              <w:rPr>
                <w:rFonts w:ascii="宋体" w:cs="宋体" w:eastAsia="宋体" w:hAnsi="宋体"/>
                <w:b/>
                <w:bCs/>
                <w:sz w:val="21"/>
                <w:szCs w:val="21"/>
              </w:rPr>
              <w:t xml:space="preserve">现状</w:t>
            </w:r>
          </w:p>
        </w:tc>
        <w:tc>
          <w:tcPr>
            <w:tcW w:type="dxa" w:w="1800"/>
            <w:tcBorders>
              <w:top w:val="single" w:color="000000" w:sz="4"/>
              <w:left w:val="single" w:color="000000" w:sz="4"/>
              <w:bottom w:val="single" w:color="000000" w:sz="4"/>
              <w:right w:val="single" w:color="000000" w:sz="4"/>
            </w:tcBorders>
            <w:shd w:fill="E7E6E6" w:color="auto" w:val="clear"/>
            <w:vAlign w:val="center"/>
          </w:tcPr>
          <w:p>
            <w:pPr>
              <w:spacing w:before="20" w:after="20" w:line="240"/>
              <w:jc w:val="center"/>
            </w:pPr>
            <w:r>
              <w:rPr>
                <w:rFonts w:ascii="宋体" w:cs="宋体" w:eastAsia="宋体" w:hAnsi="宋体"/>
                <w:b/>
                <w:bCs/>
                <w:sz w:val="21"/>
                <w:szCs w:val="21"/>
              </w:rPr>
              <w:t xml:space="preserve">目标值</w:t>
            </w:r>
          </w:p>
        </w:tc>
        <w:tc>
          <w:tcPr>
            <w:tcW w:type="dxa" w:w="3200"/>
            <w:tcBorders>
              <w:top w:val="single" w:color="000000" w:sz="4"/>
              <w:left w:val="single" w:color="000000" w:sz="4"/>
              <w:bottom w:val="single" w:color="000000" w:sz="4"/>
              <w:right w:val="single" w:color="000000" w:sz="4"/>
            </w:tcBorders>
            <w:shd w:fill="E7E6E6" w:color="auto" w:val="clear"/>
            <w:vAlign w:val="center"/>
          </w:tcPr>
          <w:p>
            <w:pPr>
              <w:spacing w:before="20" w:after="20" w:line="240"/>
              <w:jc w:val="center"/>
            </w:pPr>
            <w:r>
              <w:rPr>
                <w:rFonts w:ascii="宋体" w:cs="宋体" w:eastAsia="宋体" w:hAnsi="宋体"/>
                <w:b/>
                <w:bCs/>
                <w:sz w:val="21"/>
                <w:szCs w:val="21"/>
              </w:rPr>
              <w:t xml:space="preserve">核算方式</w:t>
            </w:r>
          </w:p>
        </w:tc>
      </w:tr>
      <w:tr>
        <w:tc>
          <w:tcPr>
            <w:tcW w:type="dxa" w:w="24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单位原酒综合蒸汽耗量</w:t>
            </w:r>
          </w:p>
        </w:tc>
        <w:tc>
          <w:tcPr>
            <w:tcW w:type="dxa" w:w="16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基线值</w:t>
            </w:r>
          </w:p>
        </w:tc>
        <w:tc>
          <w:tcPr>
            <w:tcW w:type="dxa" w:w="18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下降≥15%</w:t>
            </w:r>
          </w:p>
        </w:tc>
        <w:tc>
          <w:tcPr>
            <w:tcW w:type="dxa" w:w="32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蒸汽流量计/产量</w:t>
            </w:r>
          </w:p>
        </w:tc>
      </w:tr>
      <w:tr>
        <w:tc>
          <w:tcPr>
            <w:tcW w:type="dxa" w:w="24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单位原酒新鲜水耗</w:t>
            </w:r>
          </w:p>
        </w:tc>
        <w:tc>
          <w:tcPr>
            <w:tcW w:type="dxa" w:w="16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基线值</w:t>
            </w:r>
          </w:p>
        </w:tc>
        <w:tc>
          <w:tcPr>
            <w:tcW w:type="dxa" w:w="18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下降≥20%</w:t>
            </w:r>
          </w:p>
        </w:tc>
        <w:tc>
          <w:tcPr>
            <w:tcW w:type="dxa" w:w="32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总进水表/产量</w:t>
            </w:r>
          </w:p>
        </w:tc>
      </w:tr>
      <w:tr>
        <w:tc>
          <w:tcPr>
            <w:tcW w:type="dxa" w:w="24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关键参数自动采集率</w:t>
            </w:r>
          </w:p>
        </w:tc>
        <w:tc>
          <w:tcPr>
            <w:tcW w:type="dxa" w:w="16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分散记录</w:t>
            </w:r>
          </w:p>
        </w:tc>
        <w:tc>
          <w:tcPr>
            <w:tcW w:type="dxa" w:w="18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≥95%</w:t>
            </w:r>
          </w:p>
        </w:tc>
        <w:tc>
          <w:tcPr>
            <w:tcW w:type="dxa" w:w="32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平台数据完整率</w:t>
            </w:r>
          </w:p>
        </w:tc>
      </w:tr>
      <w:tr>
        <w:tc>
          <w:tcPr>
            <w:tcW w:type="dxa" w:w="24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优级酒率</w:t>
            </w:r>
          </w:p>
        </w:tc>
        <w:tc>
          <w:tcPr>
            <w:tcW w:type="dxa" w:w="16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基线值</w:t>
            </w:r>
          </w:p>
        </w:tc>
        <w:tc>
          <w:tcPr>
            <w:tcW w:type="dxa" w:w="18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提高3个百分点</w:t>
            </w:r>
          </w:p>
        </w:tc>
        <w:tc>
          <w:tcPr>
            <w:tcW w:type="dxa" w:w="32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质量检验记录</w:t>
            </w:r>
          </w:p>
        </w:tc>
      </w:tr>
      <w:tr>
        <w:tc>
          <w:tcPr>
            <w:tcW w:type="dxa" w:w="24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异常发酵批次率</w:t>
            </w:r>
          </w:p>
        </w:tc>
        <w:tc>
          <w:tcPr>
            <w:tcW w:type="dxa" w:w="16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基线值</w:t>
            </w:r>
          </w:p>
        </w:tc>
        <w:tc>
          <w:tcPr>
            <w:tcW w:type="dxa" w:w="18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下降≥30%</w:t>
            </w:r>
          </w:p>
        </w:tc>
        <w:tc>
          <w:tcPr>
            <w:tcW w:type="dxa" w:w="32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偏差批次统计</w:t>
            </w:r>
          </w:p>
        </w:tc>
      </w:tr>
      <w:tr>
        <w:tc>
          <w:tcPr>
            <w:tcW w:type="dxa" w:w="24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高浓度废水量</w:t>
            </w:r>
          </w:p>
        </w:tc>
        <w:tc>
          <w:tcPr>
            <w:tcW w:type="dxa" w:w="16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基线值</w:t>
            </w:r>
          </w:p>
        </w:tc>
        <w:tc>
          <w:tcPr>
            <w:tcW w:type="dxa" w:w="18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下降≥15%</w:t>
            </w:r>
          </w:p>
        </w:tc>
        <w:tc>
          <w:tcPr>
            <w:tcW w:type="dxa" w:w="32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分质流量计</w:t>
            </w:r>
          </w:p>
        </w:tc>
      </w:tr>
    </w:tbl>
    <w:p>
      <w:pPr>
        <w:keepNext w:val="false"/>
        <w:spacing w:line="360" w:before="0" w:after="100"/>
        <w:jc w:val="center"/>
      </w:pPr>
      <w:r>
        <w:rPr>
          <w:rFonts w:ascii="宋体" w:cs="宋体" w:eastAsia="宋体" w:hAnsi="宋体"/>
          <w:b w:val="false"/>
          <w:bCs w:val="false"/>
          <w:sz w:val="21"/>
          <w:szCs w:val="21"/>
        </w:rPr>
        <w:t xml:space="preserve">表1  酿造车间优化目标及评价方法</w:t>
      </w:r>
    </w:p>
    <w:p>
      <w:pPr>
        <w:pStyle w:val="Heading1"/>
        <w:keepNext/>
        <w:spacing w:line="360" w:before="200" w:after="100"/>
        <w:jc w:val="left"/>
      </w:pPr>
      <w:r>
        <w:rPr>
          <w:rFonts w:ascii="黑体" w:cs="黑体" w:eastAsia="黑体" w:hAnsi="黑体"/>
          <w:b/>
          <w:bCs/>
          <w:sz w:val="32"/>
          <w:szCs w:val="32"/>
        </w:rPr>
        <w:t xml:space="preserve">四、系统优化方案设计</w:t>
      </w:r>
    </w:p>
    <w:p>
      <w:pPr>
        <w:pStyle w:val="Heading2"/>
        <w:keepNext/>
        <w:spacing w:line="360" w:before="120" w:after="60"/>
        <w:jc w:val="left"/>
      </w:pPr>
      <w:r>
        <w:rPr>
          <w:rFonts w:ascii="黑体" w:cs="黑体" w:eastAsia="黑体" w:hAnsi="黑体"/>
          <w:b/>
          <w:bCs/>
          <w:sz w:val="30"/>
          <w:szCs w:val="30"/>
        </w:rPr>
        <w:t xml:space="preserve">（一）构建“数字化地缸”发酵监测系统</w:t>
      </w:r>
    </w:p>
    <w:p>
      <w:pPr>
        <w:pStyle w:val="Heading3"/>
        <w:keepNext/>
        <w:spacing w:line="360" w:before="60" w:after="0"/>
        <w:jc w:val="left"/>
      </w:pPr>
      <w:r>
        <w:rPr>
          <w:rFonts w:ascii="黑体" w:cs="黑体" w:eastAsia="黑体" w:hAnsi="黑体"/>
          <w:b/>
          <w:bCs/>
          <w:sz w:val="24"/>
          <w:szCs w:val="24"/>
        </w:rPr>
        <w:t xml:space="preserve">1. 监测点与数据采集</w:t>
      </w:r>
    </w:p>
    <w:p>
      <w:pPr>
        <w:keepNext w:val="false"/>
        <w:spacing w:line="360" w:before="0" w:after="0"/>
        <w:ind w:firstLine="480"/>
        <w:jc w:val="both"/>
      </w:pPr>
      <w:r>
        <w:rPr>
          <w:rFonts w:ascii="宋体" w:cs="宋体" w:eastAsia="宋体" w:hAnsi="宋体"/>
          <w:b w:val="false"/>
          <w:bCs w:val="false"/>
          <w:sz w:val="24"/>
          <w:szCs w:val="24"/>
        </w:rPr>
        <w:t xml:space="preserve">在不破坏地缸结构和清洁卫生的前提下，对示范区地缸配置食品级密封测温套管或可拆卸无线温度探头，优先监测酒醅上、中、下代表位置；入缸前由快速水分仪、酸度计和近红外设备检测水分、酸度、还原糖和淀粉等指标。地缸、原粮、大曲和班组使用统一二维码绑定，数据通过工业网关进入制造执行系统。传感器外壳需耐腐蚀、易清洗，安装件不得成为异物风险源。</w:t>
      </w:r>
    </w:p>
    <w:p>
      <w:pPr>
        <w:pStyle w:val="Heading3"/>
        <w:keepNext/>
        <w:spacing w:line="360" w:before="60" w:after="0"/>
        <w:jc w:val="left"/>
      </w:pPr>
      <w:r>
        <w:rPr>
          <w:rFonts w:ascii="黑体" w:cs="黑体" w:eastAsia="黑体" w:hAnsi="黑体"/>
          <w:b/>
          <w:bCs/>
          <w:sz w:val="24"/>
          <w:szCs w:val="24"/>
        </w:rPr>
        <w:t xml:space="preserve">2. 发酵曲线判异与闭环处置</w:t>
      </w:r>
    </w:p>
    <w:p>
      <w:pPr>
        <w:keepNext w:val="false"/>
        <w:spacing w:line="360" w:before="0" w:after="0"/>
        <w:ind w:firstLine="480"/>
        <w:jc w:val="both"/>
      </w:pPr>
      <w:r>
        <w:rPr>
          <w:rFonts w:ascii="宋体" w:cs="宋体" w:eastAsia="宋体" w:hAnsi="宋体"/>
          <w:b w:val="false"/>
          <w:bCs w:val="false"/>
          <w:sz w:val="24"/>
          <w:szCs w:val="24"/>
        </w:rPr>
        <w:t xml:space="preserve">以历史优质批次建立正常温度曲线包络，设置升温速率、峰值温度、达峰时间和降温速率等特征值。若连续测点越界，平台向工艺员报警，并联动检查入缸温度、水分、加曲量、封缸状态及环境温度。初期只做“监测—报警—人工确认”，待累积一个完整生产周期数据后，再采用主成分分析或偏最小二乘模型辅助预测出酒率与关键风味指标，避免未经验证的算法直接控制传统发酵。</w:t>
      </w:r>
    </w:p>
    <w:p>
      <w:pPr>
        <w:pStyle w:val="Heading3"/>
        <w:keepNext/>
        <w:spacing w:line="360" w:before="60" w:after="0"/>
        <w:jc w:val="left"/>
      </w:pPr>
      <w:r>
        <w:rPr>
          <w:rFonts w:ascii="黑体" w:cs="黑体" w:eastAsia="黑体" w:hAnsi="黑体"/>
          <w:b/>
          <w:bCs/>
          <w:sz w:val="24"/>
          <w:szCs w:val="24"/>
        </w:rPr>
        <w:t xml:space="preserve">3. 环境调控</w:t>
      </w:r>
    </w:p>
    <w:p>
      <w:pPr>
        <w:keepNext w:val="false"/>
        <w:spacing w:line="360" w:before="0" w:after="0"/>
        <w:ind w:firstLine="480"/>
        <w:jc w:val="both"/>
      </w:pPr>
      <w:r>
        <w:rPr>
          <w:rFonts w:ascii="宋体" w:cs="宋体" w:eastAsia="宋体" w:hAnsi="宋体"/>
          <w:b w:val="false"/>
          <w:bCs w:val="false"/>
          <w:sz w:val="24"/>
          <w:szCs w:val="24"/>
        </w:rPr>
        <w:t xml:space="preserve">对发酵房温湿度进行分区采集，风机采用变频控制。控制目标不是追求恒温，而是减少极端天气对地缸散热的扰动。根据地缸核心温度偏差分区启停低速通风，设置人工优先和故障旁路，确保传感器失效时仍可按传统工艺生产。</w:t>
      </w:r>
    </w:p>
    <w:p>
      <w:pPr>
        <w:pStyle w:val="Heading2"/>
        <w:keepNext/>
        <w:spacing w:line="360" w:before="120" w:after="60"/>
        <w:jc w:val="left"/>
      </w:pPr>
      <w:r>
        <w:rPr>
          <w:rFonts w:ascii="黑体" w:cs="黑体" w:eastAsia="黑体" w:hAnsi="黑体"/>
          <w:b/>
          <w:bCs/>
          <w:sz w:val="30"/>
          <w:szCs w:val="30"/>
        </w:rPr>
        <w:t xml:space="preserve">（二）蒸汽分级计量与冷凝余热回收</w:t>
      </w:r>
    </w:p>
    <w:p>
      <w:pPr>
        <w:pStyle w:val="Heading3"/>
        <w:keepNext/>
        <w:spacing w:line="360" w:before="60" w:after="0"/>
        <w:jc w:val="left"/>
      </w:pPr>
      <w:r>
        <w:rPr>
          <w:rFonts w:ascii="黑体" w:cs="黑体" w:eastAsia="黑体" w:hAnsi="黑体"/>
          <w:b/>
          <w:bCs/>
          <w:sz w:val="24"/>
          <w:szCs w:val="24"/>
        </w:rPr>
        <w:t xml:space="preserve">1. 分工序计量与稳定供汽</w:t>
      </w:r>
    </w:p>
    <w:p>
      <w:pPr>
        <w:keepNext w:val="false"/>
        <w:spacing w:line="360" w:before="0" w:after="0"/>
        <w:ind w:firstLine="480"/>
        <w:jc w:val="both"/>
      </w:pPr>
      <w:r>
        <w:rPr>
          <w:rFonts w:ascii="宋体" w:cs="宋体" w:eastAsia="宋体" w:hAnsi="宋体"/>
          <w:b w:val="false"/>
          <w:bCs w:val="false"/>
          <w:sz w:val="24"/>
          <w:szCs w:val="24"/>
        </w:rPr>
        <w:t xml:space="preserve">在蒸粮、蒸馏、CIP及采暖支路安装蒸汽流量计、压力变送器和冷凝水计量装置，建立“班次—甑次—吨原酒”三级能耗指标。关键调节阀采用气动阀和流量闭环控制，蒸煮阶段按升温、保温、排汽三段设定曲线；蒸馏阶段结合酒汽温度和流酒速度平缓调汽，减少瞬时峰值。蒸汽主管设置汽水分离和疏水状态监测，避免湿蒸汽影响传热。</w:t>
      </w:r>
    </w:p>
    <w:p>
      <w:pPr>
        <w:pStyle w:val="Heading3"/>
        <w:keepNext/>
        <w:spacing w:line="360" w:before="60" w:after="0"/>
        <w:jc w:val="left"/>
      </w:pPr>
      <w:r>
        <w:rPr>
          <w:rFonts w:ascii="黑体" w:cs="黑体" w:eastAsia="黑体" w:hAnsi="黑体"/>
          <w:b/>
          <w:bCs/>
          <w:sz w:val="24"/>
          <w:szCs w:val="24"/>
        </w:rPr>
        <w:t xml:space="preserve">2. 冷凝水与酒汽余热回收</w:t>
      </w:r>
    </w:p>
    <w:p>
      <w:pPr>
        <w:keepNext w:val="false"/>
        <w:spacing w:line="360" w:before="0" w:after="0"/>
        <w:ind w:firstLine="480"/>
        <w:jc w:val="both"/>
      </w:pPr>
      <w:r>
        <w:rPr>
          <w:rFonts w:ascii="宋体" w:cs="宋体" w:eastAsia="宋体" w:hAnsi="宋体"/>
          <w:b w:val="false"/>
          <w:bCs w:val="false"/>
          <w:sz w:val="24"/>
          <w:szCs w:val="24"/>
        </w:rPr>
        <w:t xml:space="preserve">高温清洁蒸汽冷凝水经闭式管网回收到锅炉房，经过水质、电导率在线监测后作为锅炉补水；异常冷凝水自动切换至废水系统。酒汽冷凝器采用两级换热：第一级将软化水或清洗预热水升至约45～55 ℃，第二级保证酒温满足分级要求。热水进入保温水箱，优先供应润糁、设备预冲洗或生活热水，遵循“产热端与用热端就近匹配”。为防止酒体污染，换热器采用双管板或中间循环回路，并设置压差报警。</w:t>
      </w:r>
    </w:p>
    <w:p>
      <w:pPr>
        <w:pStyle w:val="Heading3"/>
        <w:keepNext/>
        <w:spacing w:line="360" w:before="60" w:after="0"/>
        <w:jc w:val="left"/>
      </w:pPr>
      <w:r>
        <w:rPr>
          <w:rFonts w:ascii="黑体" w:cs="黑体" w:eastAsia="黑体" w:hAnsi="黑体"/>
          <w:b/>
          <w:bCs/>
          <w:sz w:val="24"/>
          <w:szCs w:val="24"/>
        </w:rPr>
        <w:t xml:space="preserve">3. 热量核算示例</w:t>
      </w:r>
    </w:p>
    <w:p>
      <w:pPr>
        <w:keepNext w:val="false"/>
        <w:spacing w:line="360" w:before="0" w:after="0"/>
        <w:ind w:firstLine="480"/>
        <w:jc w:val="both"/>
      </w:pPr>
      <w:r>
        <w:rPr>
          <w:rFonts w:ascii="宋体" w:cs="宋体" w:eastAsia="宋体" w:hAnsi="宋体"/>
          <w:b w:val="false"/>
          <w:bCs w:val="false"/>
          <w:sz w:val="24"/>
          <w:szCs w:val="24"/>
        </w:rPr>
        <w:t xml:space="preserve">若回收冷凝水5000 t/a，由90 ℃降至60 ℃释放显热，按水比热4.2 kJ/(kg·℃)计，可回收约6.3×10^8 kJ，折合175000 kWh热量；按系统综合利用率70%计，有效热量约122500 kWh。该计算仅展示量级，实际收益应根据冷凝水量、温度、锅炉效率及燃料单价复核。</w:t>
      </w:r>
    </w:p>
    <w:p>
      <w:pPr>
        <w:pStyle w:val="Heading2"/>
        <w:keepNext/>
        <w:spacing w:line="360" w:before="120" w:after="60"/>
        <w:jc w:val="left"/>
      </w:pPr>
      <w:r>
        <w:rPr>
          <w:rFonts w:ascii="黑体" w:cs="黑体" w:eastAsia="黑体" w:hAnsi="黑体"/>
          <w:b/>
          <w:bCs/>
          <w:sz w:val="30"/>
          <w:szCs w:val="30"/>
        </w:rPr>
        <w:t xml:space="preserve">（三）装甑与蒸馏辅助控制</w:t>
      </w:r>
    </w:p>
    <w:p>
      <w:pPr>
        <w:pStyle w:val="Heading3"/>
        <w:keepNext/>
        <w:spacing w:line="360" w:before="60" w:after="0"/>
        <w:jc w:val="left"/>
      </w:pPr>
      <w:r>
        <w:rPr>
          <w:rFonts w:ascii="黑体" w:cs="黑体" w:eastAsia="黑体" w:hAnsi="黑体"/>
          <w:b/>
          <w:bCs/>
          <w:sz w:val="24"/>
          <w:szCs w:val="24"/>
        </w:rPr>
        <w:t xml:space="preserve">1. 装甑标准化</w:t>
      </w:r>
    </w:p>
    <w:p>
      <w:pPr>
        <w:keepNext w:val="false"/>
        <w:spacing w:line="360" w:before="0" w:after="0"/>
        <w:ind w:firstLine="480"/>
        <w:jc w:val="both"/>
      </w:pPr>
      <w:r>
        <w:rPr>
          <w:rFonts w:ascii="宋体" w:cs="宋体" w:eastAsia="宋体" w:hAnsi="宋体"/>
          <w:b w:val="false"/>
          <w:bCs w:val="false"/>
          <w:sz w:val="24"/>
          <w:szCs w:val="24"/>
        </w:rPr>
        <w:t xml:space="preserve">在酒醅输送和装甑工位增设称重、输送变频及视频辅助系统，记录每甑质量、装甑时间和上汽时刻。通过料位检测和操作提示控制装料厚度，仍由技师完成探汽上甑与铺料判断。对不同班组的装甑时间、蒸汽曲线和出酒数据进行统计，形成最佳操作窗口，并将偏差原因用于班前培训。</w:t>
      </w:r>
    </w:p>
    <w:p>
      <w:pPr>
        <w:pStyle w:val="Heading3"/>
        <w:keepNext/>
        <w:spacing w:line="360" w:before="60" w:after="0"/>
        <w:jc w:val="left"/>
      </w:pPr>
      <w:r>
        <w:rPr>
          <w:rFonts w:ascii="黑体" w:cs="黑体" w:eastAsia="黑体" w:hAnsi="黑体"/>
          <w:b/>
          <w:bCs/>
          <w:sz w:val="24"/>
          <w:szCs w:val="24"/>
        </w:rPr>
        <w:t xml:space="preserve">2. 智能摘酒辅助</w:t>
      </w:r>
    </w:p>
    <w:p>
      <w:pPr>
        <w:keepNext w:val="false"/>
        <w:spacing w:line="360" w:before="0" w:after="0"/>
        <w:ind w:firstLine="480"/>
        <w:jc w:val="both"/>
      </w:pPr>
      <w:r>
        <w:rPr>
          <w:rFonts w:ascii="宋体" w:cs="宋体" w:eastAsia="宋体" w:hAnsi="宋体"/>
          <w:b w:val="false"/>
          <w:bCs w:val="false"/>
          <w:sz w:val="24"/>
          <w:szCs w:val="24"/>
        </w:rPr>
        <w:t xml:space="preserve">在流酒管路设置卫生型温度、流量、密度或在线酒度检测，按“酒头—前段—中段—后段—酒尾”记录数据；采用小流量自动取样器送实验室检测乙酸乙酯、乳酸乙酯、甲醇等关键指标。系统只给出切段建议，最终切换由有资质的品评与操作人员确认。这样既保留感官评价对复杂香气的判断，又利用连续数据降低人为波动。所有接液部件使用食品级材料并满足可清洗、可排空要求。</w:t>
      </w:r>
    </w:p>
    <w:p>
      <w:pPr>
        <w:pStyle w:val="Heading2"/>
        <w:keepNext/>
        <w:spacing w:line="360" w:before="120" w:after="60"/>
        <w:jc w:val="left"/>
      </w:pPr>
      <w:r>
        <w:rPr>
          <w:rFonts w:ascii="黑体" w:cs="黑体" w:eastAsia="黑体" w:hAnsi="黑体"/>
          <w:b/>
          <w:bCs/>
          <w:sz w:val="30"/>
          <w:szCs w:val="30"/>
        </w:rPr>
        <w:t xml:space="preserve">（四）水资源分质循环与废水减量</w:t>
      </w:r>
    </w:p>
    <w:p>
      <w:pPr>
        <w:pStyle w:val="Heading3"/>
        <w:keepNext/>
        <w:spacing w:line="360" w:before="60" w:after="0"/>
        <w:jc w:val="left"/>
      </w:pPr>
      <w:r>
        <w:rPr>
          <w:rFonts w:ascii="黑体" w:cs="黑体" w:eastAsia="黑体" w:hAnsi="黑体"/>
          <w:b/>
          <w:bCs/>
          <w:sz w:val="24"/>
          <w:szCs w:val="24"/>
        </w:rPr>
        <w:t xml:space="preserve">1. 用水分级与回用</w:t>
      </w:r>
    </w:p>
    <w:p>
      <w:pPr>
        <w:keepNext w:val="false"/>
        <w:spacing w:line="360" w:before="0" w:after="0"/>
        <w:ind w:firstLine="480"/>
        <w:jc w:val="both"/>
      </w:pPr>
      <w:r>
        <w:rPr>
          <w:rFonts w:ascii="宋体" w:cs="宋体" w:eastAsia="宋体" w:hAnsi="宋体"/>
          <w:b w:val="false"/>
          <w:bCs w:val="false"/>
          <w:sz w:val="24"/>
          <w:szCs w:val="24"/>
        </w:rPr>
        <w:t xml:space="preserve">将用水划分为直接接触产品的工艺水、设备终洗水、初洗水和地面清洗水。直接接触产品及终洗继续使用符合标准的新鲜水；CIP末道水经浊度、电导率和微生物风险评估后回收到独立水箱，用于下一批次预冲洗或地面初洗；冷却系统采用闭路循环并进行浓缩倍数控制。各支路设置防倒流装置和明显标识，严禁回用水串入产品接触用水。</w:t>
      </w:r>
    </w:p>
    <w:p>
      <w:pPr>
        <w:pStyle w:val="Heading3"/>
        <w:keepNext/>
        <w:spacing w:line="360" w:before="60" w:after="0"/>
        <w:jc w:val="left"/>
      </w:pPr>
      <w:r>
        <w:rPr>
          <w:rFonts w:ascii="黑体" w:cs="黑体" w:eastAsia="黑体" w:hAnsi="黑体"/>
          <w:b/>
          <w:bCs/>
          <w:sz w:val="24"/>
          <w:szCs w:val="24"/>
        </w:rPr>
        <w:t xml:space="preserve">2. 清污分流与资源化</w:t>
      </w:r>
    </w:p>
    <w:p>
      <w:pPr>
        <w:keepNext w:val="false"/>
        <w:spacing w:line="360" w:before="0" w:after="0"/>
        <w:ind w:firstLine="480"/>
        <w:jc w:val="both"/>
      </w:pPr>
      <w:r>
        <w:rPr>
          <w:rFonts w:ascii="宋体" w:cs="宋体" w:eastAsia="宋体" w:hAnsi="宋体"/>
          <w:b w:val="false"/>
          <w:bCs w:val="false"/>
          <w:sz w:val="24"/>
          <w:szCs w:val="24"/>
        </w:rPr>
        <w:t xml:space="preserve">甑底水、黄水等高浓度有机物流单独收集，优先评估回配、提取风味物质或厌氧产沼气的可行性；低浓度清洗水进入调节池后处理。调节池配置流量、pH、温度和COD快速监测，按负荷均质后再进入“厌氧—好氧—深度处理”系统。清污分流可避免大量低浓度水稀释高浓度有机物，提高厌氧反应器产气效率并减少曝气能耗。回用和资源化方案必须通过食品安全、环保和现场小试验证。</w:t>
      </w:r>
    </w:p>
    <w:p>
      <w:pPr>
        <w:pStyle w:val="Heading2"/>
        <w:keepNext/>
        <w:spacing w:line="360" w:before="120" w:after="60"/>
        <w:jc w:val="left"/>
      </w:pPr>
      <w:r>
        <w:rPr>
          <w:rFonts w:ascii="黑体" w:cs="黑体" w:eastAsia="黑体" w:hAnsi="黑体"/>
          <w:b/>
          <w:bCs/>
          <w:sz w:val="30"/>
          <w:szCs w:val="30"/>
        </w:rPr>
        <w:t xml:space="preserve">（五）建立批次追溯与能源管理平台</w:t>
      </w:r>
    </w:p>
    <w:p>
      <w:pPr>
        <w:keepNext w:val="false"/>
        <w:spacing w:line="360" w:before="0" w:after="0"/>
        <w:ind w:firstLine="480"/>
        <w:jc w:val="both"/>
      </w:pPr>
      <w:r>
        <w:rPr>
          <w:rFonts w:ascii="宋体" w:cs="宋体" w:eastAsia="宋体" w:hAnsi="宋体"/>
          <w:b w:val="false"/>
          <w:bCs w:val="false"/>
          <w:sz w:val="24"/>
          <w:szCs w:val="24"/>
        </w:rPr>
        <w:t xml:space="preserve">以“原粮批次—大曲批次—地缸—甑次—原酒等级—储罐”为主链路建立唯一编码。PLC、传感器、实验室信息管理系统和人工检验通过接口汇总，形成电子批记录。平台设置质量、产量、能耗和设备四类看板，支持异常批次反向追溯、同类批次横向比较和设备状态趋势分析。数据权限按岗位分级，关键配方和工艺参数加密存储，系统与控制网络之间设置工业防火墙，防止信息化改造影响控制安全。</w:t>
      </w:r>
    </w:p>
    <w:p>
      <w:pPr>
        <w:pStyle w:val="Heading2"/>
        <w:keepNext/>
        <w:spacing w:line="360" w:before="120" w:after="60"/>
        <w:jc w:val="left"/>
      </w:pPr>
      <w:r>
        <w:rPr>
          <w:rFonts w:ascii="黑体" w:cs="黑体" w:eastAsia="黑体" w:hAnsi="黑体"/>
          <w:b/>
          <w:bCs/>
          <w:sz w:val="30"/>
          <w:szCs w:val="30"/>
        </w:rPr>
        <w:t xml:space="preserve">（六）实施步骤与人员培训</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00"/>
      </w:tblGrid>
      <w:tr>
        <w:trPr>
          <w:tblHeader/>
        </w:trPr>
        <w:tc>
          <w:tcPr>
            <w:tcW w:type="dxa" w:w="2400"/>
            <w:tcBorders>
              <w:top w:val="single" w:color="000000" w:sz="4"/>
              <w:left w:val="single" w:color="000000" w:sz="4"/>
              <w:bottom w:val="single" w:color="000000" w:sz="4"/>
              <w:right w:val="single" w:color="000000" w:sz="4"/>
            </w:tcBorders>
            <w:shd w:fill="E7E6E6" w:color="auto" w:val="clear"/>
            <w:vAlign w:val="center"/>
          </w:tcPr>
          <w:p>
            <w:pPr>
              <w:spacing w:before="20" w:after="20" w:line="240"/>
              <w:jc w:val="center"/>
            </w:pPr>
            <w:r>
              <w:rPr>
                <w:rFonts w:ascii="宋体" w:cs="宋体" w:eastAsia="宋体" w:hAnsi="宋体"/>
                <w:b/>
                <w:bCs/>
                <w:sz w:val="21"/>
                <w:szCs w:val="21"/>
              </w:rPr>
              <w:t xml:space="preserve">阶段</w:t>
            </w:r>
          </w:p>
        </w:tc>
        <w:tc>
          <w:tcPr>
            <w:tcW w:type="dxa" w:w="1800"/>
            <w:tcBorders>
              <w:top w:val="single" w:color="000000" w:sz="4"/>
              <w:left w:val="single" w:color="000000" w:sz="4"/>
              <w:bottom w:val="single" w:color="000000" w:sz="4"/>
              <w:right w:val="single" w:color="000000" w:sz="4"/>
            </w:tcBorders>
            <w:shd w:fill="E7E6E6" w:color="auto" w:val="clear"/>
            <w:vAlign w:val="center"/>
          </w:tcPr>
          <w:p>
            <w:pPr>
              <w:spacing w:before="20" w:after="20" w:line="240"/>
              <w:jc w:val="center"/>
            </w:pPr>
            <w:r>
              <w:rPr>
                <w:rFonts w:ascii="宋体" w:cs="宋体" w:eastAsia="宋体" w:hAnsi="宋体"/>
                <w:b/>
                <w:bCs/>
                <w:sz w:val="21"/>
                <w:szCs w:val="21"/>
              </w:rPr>
              <w:t xml:space="preserve">时间</w:t>
            </w:r>
          </w:p>
        </w:tc>
        <w:tc>
          <w:tcPr>
            <w:tcW w:type="dxa" w:w="4800"/>
            <w:tcBorders>
              <w:top w:val="single" w:color="000000" w:sz="4"/>
              <w:left w:val="single" w:color="000000" w:sz="4"/>
              <w:bottom w:val="single" w:color="000000" w:sz="4"/>
              <w:right w:val="single" w:color="000000" w:sz="4"/>
            </w:tcBorders>
            <w:shd w:fill="E7E6E6" w:color="auto" w:val="clear"/>
            <w:vAlign w:val="center"/>
          </w:tcPr>
          <w:p>
            <w:pPr>
              <w:spacing w:before="20" w:after="20" w:line="240"/>
              <w:jc w:val="center"/>
            </w:pPr>
            <w:r>
              <w:rPr>
                <w:rFonts w:ascii="宋体" w:cs="宋体" w:eastAsia="宋体" w:hAnsi="宋体"/>
                <w:b/>
                <w:bCs/>
                <w:sz w:val="21"/>
                <w:szCs w:val="21"/>
              </w:rPr>
              <w:t xml:space="preserve">主要任务</w:t>
            </w:r>
          </w:p>
        </w:tc>
      </w:tr>
      <w:tr>
        <w:tc>
          <w:tcPr>
            <w:tcW w:type="dxa" w:w="24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第一阶段：基线诊断</w:t>
            </w:r>
          </w:p>
        </w:tc>
        <w:tc>
          <w:tcPr>
            <w:tcW w:type="dxa" w:w="18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1～2个月</w:t>
            </w:r>
          </w:p>
        </w:tc>
        <w:tc>
          <w:tcPr>
            <w:tcW w:type="dxa" w:w="48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安装临时计量，核定水、汽、产量及质量基线；完成HAZOP和食品安全评估</w:t>
            </w:r>
          </w:p>
        </w:tc>
      </w:tr>
      <w:tr>
        <w:tc>
          <w:tcPr>
            <w:tcW w:type="dxa" w:w="24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第二阶段：示范改造</w:t>
            </w:r>
          </w:p>
        </w:tc>
        <w:tc>
          <w:tcPr>
            <w:tcW w:type="dxa" w:w="18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3～5个月</w:t>
            </w:r>
          </w:p>
        </w:tc>
        <w:tc>
          <w:tcPr>
            <w:tcW w:type="dxa" w:w="48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选择一个发酵区和一条蒸馏线，部署传感器、余热回收及数据平台</w:t>
            </w:r>
          </w:p>
        </w:tc>
      </w:tr>
      <w:tr>
        <w:tc>
          <w:tcPr>
            <w:tcW w:type="dxa" w:w="24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第三阶段：验证优化</w:t>
            </w:r>
          </w:p>
        </w:tc>
        <w:tc>
          <w:tcPr>
            <w:tcW w:type="dxa" w:w="18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6～8个月</w:t>
            </w:r>
          </w:p>
        </w:tc>
        <w:tc>
          <w:tcPr>
            <w:tcW w:type="dxa" w:w="48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连续运行不少于3个生产周期，比较质量、能耗和故障数据，修订参数</w:t>
            </w:r>
          </w:p>
        </w:tc>
      </w:tr>
      <w:tr>
        <w:tc>
          <w:tcPr>
            <w:tcW w:type="dxa" w:w="24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第四阶段：复制推广</w:t>
            </w:r>
          </w:p>
        </w:tc>
        <w:tc>
          <w:tcPr>
            <w:tcW w:type="dxa" w:w="18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9～12个月</w:t>
            </w:r>
          </w:p>
        </w:tc>
        <w:tc>
          <w:tcPr>
            <w:tcW w:type="dxa" w:w="48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通过验收后分批复制，建立SOP、点检表和绩效指标</w:t>
            </w:r>
          </w:p>
        </w:tc>
      </w:tr>
    </w:tbl>
    <w:p>
      <w:pPr>
        <w:keepNext w:val="false"/>
        <w:spacing w:line="360" w:before="0" w:after="100"/>
        <w:jc w:val="center"/>
      </w:pPr>
      <w:r>
        <w:rPr>
          <w:rFonts w:ascii="宋体" w:cs="宋体" w:eastAsia="宋体" w:hAnsi="宋体"/>
          <w:b w:val="false"/>
          <w:bCs w:val="false"/>
          <w:sz w:val="21"/>
          <w:szCs w:val="21"/>
        </w:rPr>
        <w:t xml:space="preserve">表2  优化方案实施计划</w:t>
      </w:r>
    </w:p>
    <w:p>
      <w:pPr>
        <w:keepNext w:val="false"/>
        <w:spacing w:line="360" w:before="0" w:after="0"/>
        <w:ind w:firstLine="480"/>
        <w:jc w:val="both"/>
      </w:pPr>
      <w:r>
        <w:rPr>
          <w:rFonts w:ascii="宋体" w:cs="宋体" w:eastAsia="宋体" w:hAnsi="宋体"/>
          <w:b w:val="false"/>
          <w:bCs w:val="false"/>
          <w:sz w:val="24"/>
          <w:szCs w:val="24"/>
        </w:rPr>
        <w:t xml:space="preserve">培训分为操作、维护和管理三个层级。操作人员掌握二维码绑定、报警确认、卫生操作与手动旁路；维修人员掌握传感器校准、阀门点检、网络故障和换热器清洗；工艺及管理人员掌握数据审核、指标核算和变更控制。每项新设备投用前开展理论培训、现场演练和考核，保留签到、试题与授权记录。</w:t>
      </w:r>
    </w:p>
    <w:p>
      <w:pPr>
        <w:pStyle w:val="Heading1"/>
        <w:keepNext/>
        <w:spacing w:line="360" w:before="200" w:after="100"/>
        <w:jc w:val="left"/>
      </w:pPr>
      <w:r>
        <w:rPr>
          <w:rFonts w:ascii="黑体" w:cs="黑体" w:eastAsia="黑体" w:hAnsi="黑体"/>
          <w:b/>
          <w:bCs/>
          <w:sz w:val="32"/>
          <w:szCs w:val="32"/>
        </w:rPr>
        <w:t xml:space="preserve">五、方案可行性分析</w:t>
      </w:r>
    </w:p>
    <w:p>
      <w:pPr>
        <w:pStyle w:val="Heading2"/>
        <w:keepNext/>
        <w:spacing w:line="360" w:before="120" w:after="60"/>
        <w:jc w:val="left"/>
      </w:pPr>
      <w:r>
        <w:rPr>
          <w:rFonts w:ascii="黑体" w:cs="黑体" w:eastAsia="黑体" w:hAnsi="黑体"/>
          <w:b/>
          <w:bCs/>
          <w:sz w:val="30"/>
          <w:szCs w:val="30"/>
        </w:rPr>
        <w:t xml:space="preserve">（一）技术可行性</w:t>
      </w:r>
    </w:p>
    <w:p>
      <w:pPr>
        <w:keepNext w:val="false"/>
        <w:spacing w:line="360" w:before="0" w:after="0"/>
        <w:ind w:firstLine="480"/>
        <w:jc w:val="both"/>
      </w:pPr>
      <w:r>
        <w:rPr>
          <w:rFonts w:ascii="宋体" w:cs="宋体" w:eastAsia="宋体" w:hAnsi="宋体"/>
          <w:b w:val="false"/>
          <w:bCs w:val="false"/>
          <w:sz w:val="24"/>
          <w:szCs w:val="24"/>
        </w:rPr>
        <w:t xml:space="preserve">温度、流量、压力、电导率和近红外检测均为成熟工业技术，闭式冷凝水回收、板式换热和变频控制在食品与酿造行业已有广泛应用。项目难点不在单台设备，而在传感器卫生设计、传统批次数据关联和模型验证。因此采用“小范围示范—人工确认—逐步闭环”的路径，可把对风味和生产连续性的风险降到可接受范围。核心发酵和摘酒仍保留人工决策，符合传统技艺传承要求。</w:t>
      </w:r>
    </w:p>
    <w:p>
      <w:pPr>
        <w:pStyle w:val="Heading2"/>
        <w:keepNext/>
        <w:spacing w:line="360" w:before="120" w:after="60"/>
        <w:jc w:val="left"/>
      </w:pPr>
      <w:r>
        <w:rPr>
          <w:rFonts w:ascii="黑体" w:cs="黑体" w:eastAsia="黑体" w:hAnsi="黑体"/>
          <w:b/>
          <w:bCs/>
          <w:sz w:val="30"/>
          <w:szCs w:val="30"/>
        </w:rPr>
        <w:t xml:space="preserve">（二）经济可行性</w:t>
      </w:r>
    </w:p>
    <w:p>
      <w:pPr>
        <w:keepNext w:val="false"/>
        <w:spacing w:line="360" w:before="0" w:after="0"/>
        <w:ind w:firstLine="480"/>
        <w:jc w:val="both"/>
      </w:pPr>
      <w:r>
        <w:rPr>
          <w:rFonts w:ascii="宋体" w:cs="宋体" w:eastAsia="宋体" w:hAnsi="宋体"/>
          <w:b w:val="false"/>
          <w:bCs w:val="false"/>
          <w:sz w:val="24"/>
          <w:szCs w:val="24"/>
        </w:rPr>
        <w:t xml:space="preserve">以示范车间为例，初步投资可由地缸监测与网关、蒸汽计量和自控、余热回收、水回用、平台软件及安装调试构成，估算总投资约480万元，其中设备与仪表300万元、安装管网90万元、软件集成60万元、培训及预备费30万元。若年节约蒸汽7500 t，按220元/t计可节约165万元；年节水4万t，按综合水处理成本8元/t计节约32万元；优级酒率提升和异常批次减少产生的保守收益按100万元/a计，合计直接及质量收益约297万元/a。扣除年维护费约25万元，静态投资回收期约1.8年。上述金额为方案级估算，误差可能在±30%，立项时应依据企业报价和真实基线复算。</w:t>
      </w:r>
    </w:p>
    <w:p>
      <w:pPr>
        <w:pStyle w:val="Heading2"/>
        <w:keepNext/>
        <w:spacing w:line="360" w:before="120" w:after="60"/>
        <w:jc w:val="left"/>
      </w:pPr>
      <w:r>
        <w:rPr>
          <w:rFonts w:ascii="黑体" w:cs="黑体" w:eastAsia="黑体" w:hAnsi="黑体"/>
          <w:b/>
          <w:bCs/>
          <w:sz w:val="30"/>
          <w:szCs w:val="30"/>
        </w:rPr>
        <w:t xml:space="preserve">（三）环境与合规可行性</w:t>
      </w:r>
    </w:p>
    <w:p>
      <w:pPr>
        <w:keepNext w:val="false"/>
        <w:spacing w:line="360" w:before="0" w:after="0"/>
        <w:ind w:firstLine="480"/>
        <w:jc w:val="both"/>
      </w:pPr>
      <w:r>
        <w:rPr>
          <w:rFonts w:ascii="宋体" w:cs="宋体" w:eastAsia="宋体" w:hAnsi="宋体"/>
          <w:b w:val="false"/>
          <w:bCs w:val="false"/>
          <w:sz w:val="24"/>
          <w:szCs w:val="24"/>
        </w:rPr>
        <w:t xml:space="preserve">方案通过蒸汽和热水回收降低燃料消耗及间接碳排放，通过分质用水和清污分流减少污水量与处理负荷。食品接触材料、工艺用水和清洗验证应满足食品安全国家标准及企业HACCP体系；废水排放执行现行发酵酒精和白酒工业污染物排放要求及地方标准。新建水箱和管路应防止死角、倒流和交叉污染，回用范围需由质量部门批准。</w:t>
      </w:r>
    </w:p>
    <w:p>
      <w:pPr>
        <w:pStyle w:val="Heading2"/>
        <w:keepNext/>
        <w:spacing w:line="360" w:before="120" w:after="60"/>
        <w:jc w:val="left"/>
      </w:pPr>
      <w:r>
        <w:rPr>
          <w:rFonts w:ascii="黑体" w:cs="黑体" w:eastAsia="黑体" w:hAnsi="黑体"/>
          <w:b/>
          <w:bCs/>
          <w:sz w:val="30"/>
          <w:szCs w:val="30"/>
        </w:rPr>
        <w:t xml:space="preserve">（四）组织可行性</w:t>
      </w:r>
    </w:p>
    <w:p>
      <w:pPr>
        <w:keepNext w:val="false"/>
        <w:spacing w:line="360" w:before="0" w:after="0"/>
        <w:ind w:firstLine="480"/>
        <w:jc w:val="both"/>
      </w:pPr>
      <w:r>
        <w:rPr>
          <w:rFonts w:ascii="宋体" w:cs="宋体" w:eastAsia="宋体" w:hAnsi="宋体"/>
          <w:b w:val="false"/>
          <w:bCs w:val="false"/>
          <w:sz w:val="24"/>
          <w:szCs w:val="24"/>
        </w:rPr>
        <w:t xml:space="preserve">项目可由生产负责人牵头，工艺、设备、能源、质量、信息化和环保部门组成联合小组。关键绩效不只考核节能量，还应同时考核优级酒率、异常批次率和食品安全偏差，避免单纯追求能耗下降而改变酒体质量。通过将报警处置、设备校准和数据审核纳入SOP，可使新系统成为生产管理工具，而非孤立展示项目。</w:t>
      </w:r>
    </w:p>
    <w:p>
      <w:pPr>
        <w:pStyle w:val="Heading1"/>
        <w:keepNext/>
        <w:spacing w:line="360" w:before="200" w:after="100"/>
        <w:jc w:val="left"/>
      </w:pPr>
      <w:r>
        <w:rPr>
          <w:rFonts w:ascii="黑体" w:cs="黑体" w:eastAsia="黑体" w:hAnsi="黑体"/>
          <w:b/>
          <w:bCs/>
          <w:sz w:val="32"/>
          <w:szCs w:val="32"/>
        </w:rPr>
        <w:t xml:space="preserve">六、预期效果与评价方法</w:t>
      </w:r>
    </w:p>
    <w:p>
      <w:pPr>
        <w:keepNext w:val="false"/>
        <w:spacing w:line="360" w:before="0" w:after="0"/>
        <w:ind w:firstLine="480"/>
        <w:jc w:val="both"/>
      </w:pPr>
      <w:r>
        <w:rPr>
          <w:rFonts w:ascii="宋体" w:cs="宋体" w:eastAsia="宋体" w:hAnsi="宋体"/>
          <w:b w:val="false"/>
          <w:bCs w:val="false"/>
          <w:sz w:val="24"/>
          <w:szCs w:val="24"/>
        </w:rPr>
        <w:t xml:space="preserve">项目验收采用“改造前连续三个月基线”与“稳定运行后三个月”对比，按相同产品结构、气温区间和生产负荷进行归一化。蒸汽、水、电按月和甑次核算；质量以同等级产品优级酒率、理化指标合格率和感官盲评结果评价；环境绩效以新鲜水量、高浓度废水量、COD总负荷及能源折算碳排放评价。</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2900"/>
      </w:tblGrid>
      <w:tr>
        <w:trPr>
          <w:tblHeader/>
        </w:trPr>
        <w:tc>
          <w:tcPr>
            <w:tcW w:type="dxa" w:w="1900"/>
            <w:tcBorders>
              <w:top w:val="single" w:color="000000" w:sz="4"/>
              <w:left w:val="single" w:color="000000" w:sz="4"/>
              <w:bottom w:val="single" w:color="000000" w:sz="4"/>
              <w:right w:val="single" w:color="000000" w:sz="4"/>
            </w:tcBorders>
            <w:shd w:fill="E7E6E6" w:color="auto" w:val="clear"/>
            <w:vAlign w:val="center"/>
          </w:tcPr>
          <w:p>
            <w:pPr>
              <w:spacing w:before="20" w:after="20" w:line="240"/>
              <w:jc w:val="center"/>
            </w:pPr>
            <w:r>
              <w:rPr>
                <w:rFonts w:ascii="宋体" w:cs="宋体" w:eastAsia="宋体" w:hAnsi="宋体"/>
                <w:b/>
                <w:bCs/>
                <w:sz w:val="21"/>
                <w:szCs w:val="21"/>
              </w:rPr>
              <w:t xml:space="preserve">维度</w:t>
            </w:r>
          </w:p>
        </w:tc>
        <w:tc>
          <w:tcPr>
            <w:tcW w:type="dxa" w:w="4200"/>
            <w:tcBorders>
              <w:top w:val="single" w:color="000000" w:sz="4"/>
              <w:left w:val="single" w:color="000000" w:sz="4"/>
              <w:bottom w:val="single" w:color="000000" w:sz="4"/>
              <w:right w:val="single" w:color="000000" w:sz="4"/>
            </w:tcBorders>
            <w:shd w:fill="E7E6E6" w:color="auto" w:val="clear"/>
            <w:vAlign w:val="center"/>
          </w:tcPr>
          <w:p>
            <w:pPr>
              <w:spacing w:before="20" w:after="20" w:line="240"/>
              <w:jc w:val="center"/>
            </w:pPr>
            <w:r>
              <w:rPr>
                <w:rFonts w:ascii="宋体" w:cs="宋体" w:eastAsia="宋体" w:hAnsi="宋体"/>
                <w:b/>
                <w:bCs/>
                <w:sz w:val="21"/>
                <w:szCs w:val="21"/>
              </w:rPr>
              <w:t xml:space="preserve">预期效果</w:t>
            </w:r>
          </w:p>
        </w:tc>
        <w:tc>
          <w:tcPr>
            <w:tcW w:type="dxa" w:w="2900"/>
            <w:tcBorders>
              <w:top w:val="single" w:color="000000" w:sz="4"/>
              <w:left w:val="single" w:color="000000" w:sz="4"/>
              <w:bottom w:val="single" w:color="000000" w:sz="4"/>
              <w:right w:val="single" w:color="000000" w:sz="4"/>
            </w:tcBorders>
            <w:shd w:fill="E7E6E6" w:color="auto" w:val="clear"/>
            <w:vAlign w:val="center"/>
          </w:tcPr>
          <w:p>
            <w:pPr>
              <w:spacing w:before="20" w:after="20" w:line="240"/>
              <w:jc w:val="center"/>
            </w:pPr>
            <w:r>
              <w:rPr>
                <w:rFonts w:ascii="宋体" w:cs="宋体" w:eastAsia="宋体" w:hAnsi="宋体"/>
                <w:b/>
                <w:bCs/>
                <w:sz w:val="21"/>
                <w:szCs w:val="21"/>
              </w:rPr>
              <w:t xml:space="preserve">验证资料</w:t>
            </w:r>
          </w:p>
        </w:tc>
      </w:tr>
      <w:tr>
        <w:tc>
          <w:tcPr>
            <w:tcW w:type="dxa" w:w="19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生产稳定性</w:t>
            </w:r>
          </w:p>
        </w:tc>
        <w:tc>
          <w:tcPr>
            <w:tcW w:type="dxa" w:w="42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异常发酵批次率下降30%以上；关键参数完整率≥95%</w:t>
            </w:r>
          </w:p>
        </w:tc>
        <w:tc>
          <w:tcPr>
            <w:tcW w:type="dxa" w:w="29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平台报警记录、电子批记录</w:t>
            </w:r>
          </w:p>
        </w:tc>
      </w:tr>
      <w:tr>
        <w:tc>
          <w:tcPr>
            <w:tcW w:type="dxa" w:w="19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产品质量</w:t>
            </w:r>
          </w:p>
        </w:tc>
        <w:tc>
          <w:tcPr>
            <w:tcW w:type="dxa" w:w="42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优级酒率提高3个百分点；理化及感官不低于基线</w:t>
            </w:r>
          </w:p>
        </w:tc>
        <w:tc>
          <w:tcPr>
            <w:tcW w:type="dxa" w:w="29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检验报告、盲评统计</w:t>
            </w:r>
          </w:p>
        </w:tc>
      </w:tr>
      <w:tr>
        <w:tc>
          <w:tcPr>
            <w:tcW w:type="dxa" w:w="19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能源绩效</w:t>
            </w:r>
          </w:p>
        </w:tc>
        <w:tc>
          <w:tcPr>
            <w:tcW w:type="dxa" w:w="42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单位原酒蒸汽耗量下降15%以上</w:t>
            </w:r>
          </w:p>
        </w:tc>
        <w:tc>
          <w:tcPr>
            <w:tcW w:type="dxa" w:w="29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分项流量计与产量报表</w:t>
            </w:r>
          </w:p>
        </w:tc>
      </w:tr>
      <w:tr>
        <w:tc>
          <w:tcPr>
            <w:tcW w:type="dxa" w:w="19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水与环境</w:t>
            </w:r>
          </w:p>
        </w:tc>
        <w:tc>
          <w:tcPr>
            <w:tcW w:type="dxa" w:w="42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新鲜水耗下降20%；高浓度废水量下降15%</w:t>
            </w:r>
          </w:p>
        </w:tc>
        <w:tc>
          <w:tcPr>
            <w:tcW w:type="dxa" w:w="29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水表、废水流量及COD</w:t>
            </w:r>
          </w:p>
        </w:tc>
      </w:tr>
      <w:tr>
        <w:tc>
          <w:tcPr>
            <w:tcW w:type="dxa" w:w="19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经济绩效</w:t>
            </w:r>
          </w:p>
        </w:tc>
        <w:tc>
          <w:tcPr>
            <w:tcW w:type="dxa" w:w="42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静态回收期目标≤3年</w:t>
            </w:r>
          </w:p>
        </w:tc>
        <w:tc>
          <w:tcPr>
            <w:tcW w:type="dxa" w:w="29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财务复核与节约量核证</w:t>
            </w:r>
          </w:p>
        </w:tc>
      </w:tr>
    </w:tbl>
    <w:p>
      <w:pPr>
        <w:keepNext w:val="false"/>
        <w:spacing w:line="360" w:before="0" w:after="100"/>
        <w:jc w:val="center"/>
      </w:pPr>
      <w:r>
        <w:rPr>
          <w:rFonts w:ascii="宋体" w:cs="宋体" w:eastAsia="宋体" w:hAnsi="宋体"/>
          <w:b w:val="false"/>
          <w:bCs w:val="false"/>
          <w:sz w:val="21"/>
          <w:szCs w:val="21"/>
        </w:rPr>
        <w:t xml:space="preserve">表3  预期效果及验收依据</w:t>
      </w:r>
    </w:p>
    <w:p>
      <w:pPr>
        <w:keepNext w:val="false"/>
        <w:spacing w:line="360" w:before="0" w:after="0"/>
        <w:ind w:firstLine="480"/>
        <w:jc w:val="both"/>
      </w:pPr>
      <w:r>
        <w:rPr>
          <w:rFonts w:ascii="宋体" w:cs="宋体" w:eastAsia="宋体" w:hAnsi="宋体"/>
          <w:b w:val="false"/>
          <w:bCs w:val="false"/>
          <w:sz w:val="24"/>
          <w:szCs w:val="24"/>
        </w:rPr>
        <w:t xml:space="preserve">在保持传统清香风格的前提下，该方案将原本依赖离散记录的过程转化为可视、可查、可比较的数据链，将废热和分散水流转化为可管理的资源流。长期看，标准化数据还能支持不同季节、原粮产地和曲批次的质量规律研究，为工艺迭代提供可靠依据。</w:t>
      </w:r>
    </w:p>
    <w:p>
      <w:pPr>
        <w:pStyle w:val="Heading1"/>
        <w:keepNext/>
        <w:spacing w:line="360" w:before="200" w:after="100"/>
        <w:jc w:val="left"/>
      </w:pPr>
      <w:r>
        <w:rPr>
          <w:rFonts w:ascii="黑体" w:cs="黑体" w:eastAsia="黑体" w:hAnsi="黑体"/>
          <w:b/>
          <w:bCs/>
          <w:sz w:val="32"/>
          <w:szCs w:val="32"/>
        </w:rPr>
        <w:t xml:space="preserve">七、风险分析与应对措施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500"/>
      </w:tblGrid>
      <w:tr>
        <w:trPr>
          <w:tblHeader/>
        </w:trPr>
        <w:tc>
          <w:tcPr>
            <w:tcW w:type="dxa" w:w="2100"/>
            <w:tcBorders>
              <w:top w:val="single" w:color="000000" w:sz="4"/>
              <w:left w:val="single" w:color="000000" w:sz="4"/>
              <w:bottom w:val="single" w:color="000000" w:sz="4"/>
              <w:right w:val="single" w:color="000000" w:sz="4"/>
            </w:tcBorders>
            <w:shd w:fill="E7E6E6" w:color="auto" w:val="clear"/>
            <w:vAlign w:val="center"/>
          </w:tcPr>
          <w:p>
            <w:pPr>
              <w:spacing w:before="20" w:after="20" w:line="240"/>
              <w:jc w:val="center"/>
            </w:pPr>
            <w:r>
              <w:rPr>
                <w:rFonts w:ascii="宋体" w:cs="宋体" w:eastAsia="宋体" w:hAnsi="宋体"/>
                <w:b/>
                <w:bCs/>
                <w:sz w:val="21"/>
                <w:szCs w:val="21"/>
              </w:rPr>
              <w:t xml:space="preserve">风险</w:t>
            </w:r>
          </w:p>
        </w:tc>
        <w:tc>
          <w:tcPr>
            <w:tcW w:type="dxa" w:w="2400"/>
            <w:tcBorders>
              <w:top w:val="single" w:color="000000" w:sz="4"/>
              <w:left w:val="single" w:color="000000" w:sz="4"/>
              <w:bottom w:val="single" w:color="000000" w:sz="4"/>
              <w:right w:val="single" w:color="000000" w:sz="4"/>
            </w:tcBorders>
            <w:shd w:fill="E7E6E6" w:color="auto" w:val="clear"/>
            <w:vAlign w:val="center"/>
          </w:tcPr>
          <w:p>
            <w:pPr>
              <w:spacing w:before="20" w:after="20" w:line="240"/>
              <w:jc w:val="center"/>
            </w:pPr>
            <w:r>
              <w:rPr>
                <w:rFonts w:ascii="宋体" w:cs="宋体" w:eastAsia="宋体" w:hAnsi="宋体"/>
                <w:b/>
                <w:bCs/>
                <w:sz w:val="21"/>
                <w:szCs w:val="21"/>
              </w:rPr>
              <w:t xml:space="preserve">可能影响</w:t>
            </w:r>
          </w:p>
        </w:tc>
        <w:tc>
          <w:tcPr>
            <w:tcW w:type="dxa" w:w="4500"/>
            <w:tcBorders>
              <w:top w:val="single" w:color="000000" w:sz="4"/>
              <w:left w:val="single" w:color="000000" w:sz="4"/>
              <w:bottom w:val="single" w:color="000000" w:sz="4"/>
              <w:right w:val="single" w:color="000000" w:sz="4"/>
            </w:tcBorders>
            <w:shd w:fill="E7E6E6" w:color="auto" w:val="clear"/>
            <w:vAlign w:val="center"/>
          </w:tcPr>
          <w:p>
            <w:pPr>
              <w:spacing w:before="20" w:after="20" w:line="240"/>
              <w:jc w:val="center"/>
            </w:pPr>
            <w:r>
              <w:rPr>
                <w:rFonts w:ascii="宋体" w:cs="宋体" w:eastAsia="宋体" w:hAnsi="宋体"/>
                <w:b/>
                <w:bCs/>
                <w:sz w:val="21"/>
                <w:szCs w:val="21"/>
              </w:rPr>
              <w:t xml:space="preserve">应对措施</w:t>
            </w:r>
          </w:p>
        </w:tc>
      </w:tr>
      <w:tr>
        <w:tc>
          <w:tcPr>
            <w:tcW w:type="dxa" w:w="21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传感器漂移或损坏</w:t>
            </w:r>
          </w:p>
        </w:tc>
        <w:tc>
          <w:tcPr>
            <w:tcW w:type="dxa" w:w="24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错误报警、数据缺失</w:t>
            </w:r>
          </w:p>
        </w:tc>
        <w:tc>
          <w:tcPr>
            <w:tcW w:type="dxa" w:w="45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建立校准周期和备用探头；保留人工测量及手动生产模式</w:t>
            </w:r>
          </w:p>
        </w:tc>
      </w:tr>
      <w:tr>
        <w:tc>
          <w:tcPr>
            <w:tcW w:type="dxa" w:w="21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算法误判发酵或摘酒状态</w:t>
            </w:r>
          </w:p>
        </w:tc>
        <w:tc>
          <w:tcPr>
            <w:tcW w:type="dxa" w:w="24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不当操作影响酒质</w:t>
            </w:r>
          </w:p>
        </w:tc>
        <w:tc>
          <w:tcPr>
            <w:tcW w:type="dxa" w:w="45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初期仅提示不闭环；经多周期验证和质量部门批准后逐步使用</w:t>
            </w:r>
          </w:p>
        </w:tc>
      </w:tr>
      <w:tr>
        <w:tc>
          <w:tcPr>
            <w:tcW w:type="dxa" w:w="21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余热回收交叉污染</w:t>
            </w:r>
          </w:p>
        </w:tc>
        <w:tc>
          <w:tcPr>
            <w:tcW w:type="dxa" w:w="24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食品安全风险</w:t>
            </w:r>
          </w:p>
        </w:tc>
        <w:tc>
          <w:tcPr>
            <w:tcW w:type="dxa" w:w="45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双管板/中间回路、压差监测、定期泄漏试验和清洗验证</w:t>
            </w:r>
          </w:p>
        </w:tc>
      </w:tr>
      <w:tr>
        <w:tc>
          <w:tcPr>
            <w:tcW w:type="dxa" w:w="21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回用水错接或微生物超标</w:t>
            </w:r>
          </w:p>
        </w:tc>
        <w:tc>
          <w:tcPr>
            <w:tcW w:type="dxa" w:w="24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交叉污染</w:t>
            </w:r>
          </w:p>
        </w:tc>
        <w:tc>
          <w:tcPr>
            <w:tcW w:type="dxa" w:w="45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物理隔断、颜色标识、防倒流、在线监测及超标自动排放</w:t>
            </w:r>
          </w:p>
        </w:tc>
      </w:tr>
      <w:tr>
        <w:tc>
          <w:tcPr>
            <w:tcW w:type="dxa" w:w="21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施工影响生产</w:t>
            </w:r>
          </w:p>
        </w:tc>
        <w:tc>
          <w:tcPr>
            <w:tcW w:type="dxa" w:w="24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停产和进度风险</w:t>
            </w:r>
          </w:p>
        </w:tc>
        <w:tc>
          <w:tcPr>
            <w:tcW w:type="dxa" w:w="45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淡季分区施工、预制管段、设置旁路并提前切换演练</w:t>
            </w:r>
          </w:p>
        </w:tc>
      </w:tr>
      <w:tr>
        <w:tc>
          <w:tcPr>
            <w:tcW w:type="dxa" w:w="21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网络与数据安全事件</w:t>
            </w:r>
          </w:p>
        </w:tc>
        <w:tc>
          <w:tcPr>
            <w:tcW w:type="dxa" w:w="24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控制中断或数据泄露</w:t>
            </w:r>
          </w:p>
        </w:tc>
        <w:tc>
          <w:tcPr>
            <w:tcW w:type="dxa" w:w="45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控制网隔离、白名单、分级权限、离线备份和应急预案</w:t>
            </w:r>
          </w:p>
        </w:tc>
      </w:tr>
      <w:tr>
        <w:tc>
          <w:tcPr>
            <w:tcW w:type="dxa" w:w="21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员工接受度不足</w:t>
            </w:r>
          </w:p>
        </w:tc>
        <w:tc>
          <w:tcPr>
            <w:tcW w:type="dxa" w:w="24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系统使用率低</w:t>
            </w:r>
          </w:p>
        </w:tc>
        <w:tc>
          <w:tcPr>
            <w:tcW w:type="dxa" w:w="4500"/>
            <w:tcBorders>
              <w:top w:val="single" w:color="000000" w:sz="4"/>
              <w:left w:val="single" w:color="000000" w:sz="4"/>
              <w:bottom w:val="single" w:color="000000" w:sz="4"/>
              <w:right w:val="single" w:color="000000" w:sz="4"/>
            </w:tcBorders>
            <w:vAlign w:val="center"/>
          </w:tcPr>
          <w:p>
            <w:pPr>
              <w:spacing w:before="20" w:after="20" w:line="240"/>
              <w:jc w:val="center"/>
            </w:pPr>
            <w:r>
              <w:rPr>
                <w:rFonts w:ascii="宋体" w:cs="宋体" w:eastAsia="宋体" w:hAnsi="宋体"/>
                <w:b w:val="false"/>
                <w:bCs w:val="false"/>
                <w:sz w:val="21"/>
                <w:szCs w:val="21"/>
              </w:rPr>
              <w:t xml:space="preserve">技师参与参数设计，采用岗位培训、考核和改进奖励</w:t>
            </w:r>
          </w:p>
        </w:tc>
      </w:tr>
    </w:tbl>
    <w:p>
      <w:pPr>
        <w:keepNext w:val="false"/>
        <w:spacing w:line="360" w:before="0" w:after="100"/>
        <w:jc w:val="center"/>
      </w:pPr>
      <w:r>
        <w:rPr>
          <w:rFonts w:ascii="宋体" w:cs="宋体" w:eastAsia="宋体" w:hAnsi="宋体"/>
          <w:b w:val="false"/>
          <w:bCs w:val="false"/>
          <w:sz w:val="21"/>
          <w:szCs w:val="21"/>
        </w:rPr>
        <w:t xml:space="preserve">表4  主要风险及控制措施</w:t>
      </w:r>
    </w:p>
    <w:p>
      <w:pPr>
        <w:keepNext w:val="false"/>
        <w:spacing w:line="360" w:before="0" w:after="0"/>
        <w:ind w:firstLine="480"/>
        <w:jc w:val="both"/>
      </w:pPr>
      <w:r>
        <w:rPr>
          <w:rFonts w:ascii="宋体" w:cs="宋体" w:eastAsia="宋体" w:hAnsi="宋体"/>
          <w:b w:val="false"/>
          <w:bCs w:val="false"/>
          <w:sz w:val="24"/>
          <w:szCs w:val="24"/>
        </w:rPr>
        <w:t xml:space="preserve">项目实施期间应设置质量“红线”：任何导致主体香味成分、感官风格或食品安全指标恶化的控制策略立即退出自动模式。发生批次偏差时，按“隔离—评估—追溯—纠正预防”流程处理，并保留完整数据，避免为达到节能指标而放宽质量标准。</w:t>
      </w:r>
    </w:p>
    <w:p>
      <w:pPr>
        <w:pStyle w:val="Heading1"/>
        <w:keepNext/>
        <w:spacing w:line="360" w:before="200" w:after="100"/>
        <w:jc w:val="left"/>
      </w:pPr>
      <w:r>
        <w:rPr>
          <w:rFonts w:ascii="黑体" w:cs="黑体" w:eastAsia="黑体" w:hAnsi="黑体"/>
          <w:b/>
          <w:bCs/>
          <w:sz w:val="32"/>
          <w:szCs w:val="32"/>
        </w:rPr>
        <w:t xml:space="preserve">八、结论</w:t>
      </w:r>
    </w:p>
    <w:p>
      <w:pPr>
        <w:keepNext w:val="false"/>
        <w:spacing w:line="360" w:before="0" w:after="0"/>
        <w:ind w:firstLine="480"/>
        <w:jc w:val="both"/>
      </w:pPr>
      <w:r>
        <w:rPr>
          <w:rFonts w:ascii="宋体" w:cs="宋体" w:eastAsia="宋体" w:hAnsi="宋体"/>
          <w:b w:val="false"/>
          <w:bCs w:val="false"/>
          <w:sz w:val="24"/>
          <w:szCs w:val="24"/>
        </w:rPr>
        <w:t xml:space="preserve">针对汾酒清香型白酒规模化生产中过程感知、能源利用、水资源管理和批次追溯方面的改进空间，本方案提出数字化地缸、智能蒸馏辅助、蒸汽分级计量、冷凝余热回收、分质用水及数据平台协同的系统措施。方案没有改变“清蒸二次清”和地缸发酵等核心技艺，而是利用成熟传感、自控和数据分析手段提高传统工艺的可见性与一致性。经示范验证后，预计可实现蒸汽耗量下降15%、新鲜水耗下降20%、优级酒率提高3个百分点，并降低异常批次和废水负荷。采用分阶段建设、人工优先、质量红线和多部门联合验收，可兼顾技术成熟度、经济收益、环境合规与传统风味传承，具有较强的可操作性和推广价值。</w:t>
      </w:r>
    </w:p>
    <w:p>
      <w:pPr>
        <w:pStyle w:val="Heading1"/>
        <w:keepNext/>
        <w:spacing w:line="360" w:before="200" w:after="100"/>
        <w:jc w:val="left"/>
      </w:pPr>
      <w:r>
        <w:rPr>
          <w:rFonts w:ascii="黑体" w:cs="黑体" w:eastAsia="黑体" w:hAnsi="黑体"/>
          <w:b/>
          <w:bCs/>
          <w:sz w:val="32"/>
          <w:szCs w:val="32"/>
        </w:rPr>
        <w:t xml:space="preserve">参考文献</w:t>
      </w:r>
    </w:p>
    <w:p>
      <w:pPr>
        <w:keepNext w:val="false"/>
        <w:spacing w:line="360" w:before="0" w:after="0"/>
        <w:jc w:val="left"/>
      </w:pPr>
      <w:r>
        <w:rPr>
          <w:rFonts w:ascii="宋体" w:cs="宋体" w:eastAsia="宋体" w:hAnsi="宋体"/>
          <w:b w:val="false"/>
          <w:bCs w:val="false"/>
          <w:sz w:val="21"/>
          <w:szCs w:val="21"/>
        </w:rPr>
        <w:t xml:space="preserve">[1] 吴宏吉. 设备及工艺生产实习报告[R]. 太原: 山西大学生命科学学院, 2026.</w:t>
      </w:r>
    </w:p>
    <w:p>
      <w:pPr>
        <w:keepNext w:val="false"/>
        <w:spacing w:line="360" w:before="0" w:after="0"/>
        <w:jc w:val="left"/>
      </w:pPr>
      <w:r>
        <w:rPr>
          <w:rFonts w:ascii="宋体" w:cs="宋体" w:eastAsia="宋体" w:hAnsi="宋体"/>
          <w:b w:val="false"/>
          <w:bCs w:val="false"/>
          <w:sz w:val="21"/>
          <w:szCs w:val="21"/>
        </w:rPr>
        <w:t xml:space="preserve">[2] 中华人民共和国国家质量监督检验检疫总局, 中国国家标准化管理委员会. 白酒工业术语: GB/T 15109—2021[S]. 北京: 中国标准出版社, 2021.</w:t>
      </w:r>
    </w:p>
    <w:p>
      <w:pPr>
        <w:keepNext w:val="false"/>
        <w:spacing w:line="360" w:before="0" w:after="0"/>
        <w:jc w:val="left"/>
      </w:pPr>
      <w:r>
        <w:rPr>
          <w:rFonts w:ascii="宋体" w:cs="宋体" w:eastAsia="宋体" w:hAnsi="宋体"/>
          <w:b w:val="false"/>
          <w:bCs w:val="false"/>
          <w:sz w:val="21"/>
          <w:szCs w:val="21"/>
        </w:rPr>
        <w:t xml:space="preserve">[3] 国家卫生健康委员会, 国家市场监督管理总局. 食品安全国家标准 蒸馏酒及其配制酒: GB 2757—2012[S]. 北京: 中国标准出版社, 2012.</w:t>
      </w:r>
    </w:p>
    <w:p>
      <w:pPr>
        <w:keepNext w:val="false"/>
        <w:spacing w:line="360" w:before="0" w:after="0"/>
        <w:jc w:val="left"/>
      </w:pPr>
      <w:r>
        <w:rPr>
          <w:rFonts w:ascii="宋体" w:cs="宋体" w:eastAsia="宋体" w:hAnsi="宋体"/>
          <w:b w:val="false"/>
          <w:bCs w:val="false"/>
          <w:sz w:val="21"/>
          <w:szCs w:val="21"/>
        </w:rPr>
        <w:t xml:space="preserve">[4] 环境保护部, 国家质量监督检验检疫总局. 发酵酒精和白酒工业水污染物排放标准: GB 27631—2011[S]. 北京: 中国环境科学出版社, 2011.</w:t>
      </w:r>
    </w:p>
    <w:p>
      <w:pPr>
        <w:keepNext w:val="false"/>
        <w:spacing w:line="360" w:before="0" w:after="0"/>
        <w:jc w:val="left"/>
      </w:pPr>
      <w:r>
        <w:rPr>
          <w:rFonts w:ascii="宋体" w:cs="宋体" w:eastAsia="宋体" w:hAnsi="宋体"/>
          <w:b w:val="false"/>
          <w:bCs w:val="false"/>
          <w:sz w:val="21"/>
          <w:szCs w:val="21"/>
        </w:rPr>
        <w:t xml:space="preserve">[5] 国家市场监督管理总局, 国家标准化管理委员会. 饮料酒术语和分类: GB/T 17204—2021[S]. 北京: 中国标准出版社, 2021.</w:t>
      </w:r>
    </w:p>
    <w:p>
      <w:pPr>
        <w:keepNext w:val="false"/>
        <w:spacing w:line="360" w:before="0" w:after="0"/>
        <w:jc w:val="left"/>
      </w:pPr>
      <w:r>
        <w:rPr>
          <w:rFonts w:ascii="宋体" w:cs="宋体" w:eastAsia="宋体" w:hAnsi="宋体"/>
          <w:b w:val="false"/>
          <w:bCs w:val="false"/>
          <w:sz w:val="21"/>
          <w:szCs w:val="21"/>
        </w:rPr>
        <w:t xml:space="preserve">[6] 中华人民共和国国家质量监督检验检疫总局, 中国国家标准化管理委员会. 清香型白酒: GB/T 10781.2—2006[S]. 北京: 中国标准出版社, 2006.</w:t>
      </w:r>
    </w:p>
    <w:p>
      <w:pPr>
        <w:keepNext w:val="false"/>
        <w:spacing w:line="360" w:before="0" w:after="0"/>
        <w:jc w:val="left"/>
      </w:pPr>
      <w:r>
        <w:rPr>
          <w:rFonts w:ascii="宋体" w:cs="宋体" w:eastAsia="宋体" w:hAnsi="宋体"/>
          <w:b w:val="false"/>
          <w:bCs w:val="false"/>
          <w:sz w:val="21"/>
          <w:szCs w:val="21"/>
        </w:rPr>
        <w:t xml:space="preserve">[7] 国家卫生和计划生育委员会. 食品安全国家标准 食品生产通用卫生规范: GB 14881—2013[S]. 北京: 中国标准出版社, 2013.</w:t>
      </w:r>
    </w:p>
    <w:p>
      <w:pPr>
        <w:keepNext w:val="false"/>
        <w:spacing w:line="360" w:before="0" w:after="0"/>
        <w:jc w:val="left"/>
      </w:pPr>
      <w:r>
        <w:rPr>
          <w:rFonts w:ascii="宋体" w:cs="宋体" w:eastAsia="宋体" w:hAnsi="宋体"/>
          <w:b w:val="false"/>
          <w:bCs w:val="false"/>
          <w:sz w:val="21"/>
          <w:szCs w:val="21"/>
        </w:rPr>
        <w:t xml:space="preserve">[8] 国家发展和改革委员会. 白酒制造业清洁生产评价指标体系[S]. 北京: 国家发展和改革委员会, 2018.</w:t>
      </w:r>
    </w:p>
    <w:p>
      <w:pPr>
        <w:keepNext w:val="false"/>
        <w:spacing w:line="360" w:before="0" w:after="0"/>
        <w:jc w:val="left"/>
      </w:pPr>
      <w:r>
        <w:rPr>
          <w:rFonts w:ascii="宋体" w:cs="宋体" w:eastAsia="宋体" w:hAnsi="宋体"/>
          <w:b w:val="false"/>
          <w:bCs w:val="false"/>
          <w:sz w:val="21"/>
          <w:szCs w:val="21"/>
        </w:rPr>
        <w:t xml:space="preserve">[9] 梁邦昌. 白酒生产技术全书[M]. 北京: 中国轻工业出版社, 2013.</w:t>
      </w:r>
    </w:p>
    <w:p>
      <w:pPr>
        <w:keepNext w:val="false"/>
        <w:spacing w:line="360" w:before="0" w:after="0"/>
        <w:jc w:val="left"/>
      </w:pPr>
      <w:r>
        <w:rPr>
          <w:rFonts w:ascii="宋体" w:cs="宋体" w:eastAsia="宋体" w:hAnsi="宋体"/>
          <w:b w:val="false"/>
          <w:bCs w:val="false"/>
          <w:sz w:val="21"/>
          <w:szCs w:val="21"/>
        </w:rPr>
        <w:t xml:space="preserve">[10] 徐岩, 范文来. 中国白酒风味化学研究进展[J]. 酿酒科技, 2010(7): 17-22.</w:t>
      </w:r>
    </w:p>
    <w:sectPr>
      <w:footerReference w:type="default" r:id="rId6"/>
      <w:type w:val="nextPage"/>
      <w:pgSz w:w="11906" w:h="16838" w:orient="portrait"/>
      <w:pgMar w:top="1440" w:right="180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b w:val="false"/>
        <w:bCs w:val="false"/>
        <w:sz w:val="21"/>
        <w:szCs w:val="21"/>
      </w:rPr>
      <w:t xml:space="preserve"/>
    </w:r>
    <w:r>
      <w:rPr>
        <w:rFonts w:ascii="宋体" w:cs="宋体" w:eastAsia="宋体" w:hAnsi="宋体"/>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00" w:after="100"/>
      <w:outlineLvl w:val="0"/>
    </w:pPr>
    <w:rPr>
      <w:rFonts w:ascii="黑体" w:cs="黑体" w:eastAsia="黑体" w:hAnsi="黑体"/>
      <w:b/>
      <w:bCs/>
      <w:sz w:val="32"/>
      <w:szCs w:val="32"/>
    </w:rPr>
  </w:style>
  <w:style w:type="paragraph" w:styleId="Heading2">
    <w:name w:val="Heading 2"/>
    <w:basedOn w:val="Normal"/>
    <w:next w:val="Normal"/>
    <w:qFormat/>
    <w:pPr>
      <w:keepNext/>
      <w:spacing w:before="120" w:after="60"/>
      <w:outlineLvl w:val="1"/>
    </w:pPr>
    <w:rPr>
      <w:rFonts w:ascii="黑体" w:cs="黑体" w:eastAsia="黑体" w:hAnsi="黑体"/>
      <w:b/>
      <w:bCs/>
      <w:sz w:val="30"/>
      <w:szCs w:val="30"/>
    </w:rPr>
  </w:style>
  <w:style w:type="paragraph" w:styleId="Heading3">
    <w:name w:val="Heading 3"/>
    <w:basedOn w:val="Normal"/>
    <w:next w:val="Normal"/>
    <w:qFormat/>
    <w:pPr>
      <w:keepNext/>
      <w:spacing w:before="60"/>
      <w:outlineLvl w:val="2"/>
    </w:pPr>
    <w:rPr>
      <w:rFonts w:ascii="黑体" w:cs="黑体" w:eastAsia="黑体" w:hAnsi="黑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山西杏花村汾酒集团清香型白酒酿造智能化与节能优化方案</dc:title>
  <dc:creator>吴宏吉</dc:creator>
  <cp:lastModifiedBy>Un-named</cp:lastModifiedBy>
  <cp:revision>1</cp:revision>
  <dcterms:created xsi:type="dcterms:W3CDTF">2026-08-21T09:54:10.424Z</dcterms:created>
  <dcterms:modified xsi:type="dcterms:W3CDTF">2026-08-21T09:54:10.425Z</dcterms:modified>
</cp:coreProperties>
</file>

<file path=docProps/custom.xml><?xml version="1.0" encoding="utf-8"?>
<Properties xmlns="http://schemas.openxmlformats.org/officeDocument/2006/custom-properties" xmlns:vt="http://schemas.openxmlformats.org/officeDocument/2006/docPropsVTypes"/>
</file>