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leader="none" w:pos="1434"/>
        </w:tabs>
        <w:spacing w:after="0" w:line="240" w:lineRule="auto"/>
        <w:ind w:left="2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УМК дисциплины должен оформляться в четком соответствии с textarea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name of the documents)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Техническое оформление документов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line="240" w:lineRule="auto"/>
        <w:ind w:left="720" w:hanging="29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Каждая страница документа должна быть идентифицирована с помощью колонтитула.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tabs>
          <w:tab w:val="left" w:leader="none" w:pos="851"/>
        </w:tabs>
        <w:spacing w:after="0" w:line="240" w:lineRule="auto"/>
        <w:ind w:left="720" w:right="140" w:hanging="2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Повреждения листов, помарки и исправления в тексте не допускаются.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="240" w:lineRule="auto"/>
        <w:ind w:left="720" w:hanging="29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этом следует придерживаться следующих правил: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автоматический перенос слов;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страницы А4, поля страницы: обычные, верхнее - 2 см, нижнее – 2 см, левое – 3 см, правое 1,5 см.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шрифт - кегль 14, Times New Roman, шрифт таблиц допускается уменьшать до 12 pt;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14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качество напечатанного текста и оформления иллюстраций, таблиц и другого графического материала должно соответствовать требованиям их четкого воспроизведения;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межстрочный интервал - 1.0;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интервал между словами - 1 знак;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абзац – 1.25, одинаковый по всему тексту документа;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маркировка /перечисление(-) 0.63;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- по ширине;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7"/>
        </w:numPr>
        <w:tabs>
          <w:tab w:val="left" w:leader="none" w:pos="851"/>
        </w:tabs>
        <w:spacing w:after="0" w:line="240" w:lineRule="auto"/>
        <w:ind w:left="720" w:hanging="294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нумерация страниц документа и приложений, входящих в его состав – сквозная внизу справа, номер страницы на титульном листе не проставляют, включая его в общую нумерацию страниц документа;</w:t>
      </w:r>
    </w:p>
    <w:p w:rsidR="00000000" w:rsidDel="00000000" w:rsidP="00000000" w:rsidRDefault="00000000" w:rsidRPr="00000000" w14:paraId="00000011">
      <w:pPr>
        <w:spacing w:after="0" w:line="240" w:lineRule="auto"/>
        <w:ind w:hanging="29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page break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0" w:firstLine="0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is right aligned when printed on A4: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360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«УТВЕРЖДАЮ»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(TNR 14, Bold, Capitalized)</w:t>
      </w:r>
    </w:p>
    <w:p w:rsidR="00000000" w:rsidDel="00000000" w:rsidP="00000000" w:rsidRDefault="00000000" w:rsidRPr="00000000" w14:paraId="00000019">
      <w:pPr>
        <w:spacing w:after="0" w:line="240" w:lineRule="auto"/>
        <w:ind w:left="5529" w:hanging="48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Научная степень (dropdown: к.ф.н., д.ф.н., к.э.н., д.э.н, к.ю.н., д.э.н., PhD, MA, Ed.M., or empty), должность (dropdown: проф., доцент., ст.преп.,преп., prof., associate prof., assistant prof., lecturer),   Input type ФИО ответственного лица и абревиатуру учебного заведения (TNR 14, Regular)</w:t>
      </w:r>
    </w:p>
    <w:p w:rsidR="00000000" w:rsidDel="00000000" w:rsidP="00000000" w:rsidRDefault="00000000" w:rsidRPr="00000000" w14:paraId="0000001A">
      <w:pPr>
        <w:spacing w:after="0" w:line="240" w:lineRule="auto"/>
        <w:ind w:left="5529" w:hanging="4826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Input Calendar: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месяц, год) (TNR, 14,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УЧЕБНО-МЕТОДИЧЕСКИЙ КОМПЛЕКС ДИСЦИПЛИНЫ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(TNR 14, Bold, Capitalized, centered)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0" w:firstLine="0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«Input type: Textarea,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название дисциплины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(When printed TNR, 14,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основной образовательной программы по направлению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(TNR, 14, Regular)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«Input type: textarea,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код, наименование направления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(When printed TNR, 14,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квалификация выпускника: dropdown (options, Бакалавр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Магистратура, PhD), placeholder: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указывается квалификация выпускника в соответствии с ГОС ВПО (When Prited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TNR, 14, Regular)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Бишкек – Dropdown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2024, 2025, 2026, 2027, 2028, 2029, etc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 Insert Page break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«УТВЕРЖДАЮ» (When printed right aligned, TNR 14, Bold, Capitalized)&lt;br&gt;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Научная степень: (dropdown: к.ф.н., д.ф.н., к.э.н., д.э.н, к.ю.н., д.э.н., PhD, MA, Ed.M., or empty), должность (dropdown: проф., доцент., ст.преп.,преп., prof., associate prof., assistant prof., lecturer),   Input type ФИО ответственного лица&lt;br&gt;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Название учебного заведения: Input Type (When Printed right aligned, TNR 14, Regular)&lt;br&gt;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Calendar: («число», месяц, год) (When Printed right aligned, TNR, 14, Regular)&lt;br&gt;&lt;br&gt;&lt;br&gt;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УЧЕБНО-МЕТОДИЧЕСКИЙ КОМПЛЕКС ДИСЦИПЛИНЫ(TNR 14, Bold, Capitalized, centered)&lt;br&gt;</w:t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«Input type: Textarea,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название дисциплины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(When printed TNR, 14, Regular, centered)&lt;br&gt;&lt;br&gt;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образовательной программы по направлению (TNR, 14, Regular) 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«Input type: textarea,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код, наименование направления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(When printed TNR, 14, Regular, centered)&lt;br&gt;&lt;br&gt;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квалификация выпускника: dropdown (options, Бакалавр, Магистратура, PhD),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указывается квалификация выпускника в соответствии с ГОС ВПО (When Prited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TNR, 14, Regular, centered)&lt;br&gt;&lt;br&gt;&lt;br&gt;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printed, following table1 use TNR, 14, regular, centered: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орма обучения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dropdown (options: очная, заочная, онлайн)&lt;br&gt;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40"/>
        <w:gridCol w:w="4980"/>
        <w:tblGridChange w:id="0">
          <w:tblGrid>
            <w:gridCol w:w="4140"/>
            <w:gridCol w:w="4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Курс                        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(1,2,3,4,5)&lt;br&gt;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Семестр(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ы)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(1,2,3,4,5,6,7,8,9,10)&lt;br&gt;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Экзамен (семестр)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(1,2,3,4,5,6,7,8,9,10)&lt;br&gt;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Всего кредитов по учебному плану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type, placeholder: ввести число&lt;br&gt;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Всего часов по учебному плану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Input type, placeholder: ввести число&lt;br&gt;&lt;br&gt;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printed, following table2 use TNR, 14, regular, centered:</w:t>
      </w:r>
      <w:r w:rsidDel="00000000" w:rsidR="00000000" w:rsidRPr="00000000">
        <w:rPr>
          <w:rtl w:val="0"/>
        </w:rPr>
      </w:r>
    </w:p>
    <w:tbl>
      <w:tblPr>
        <w:tblStyle w:val="Table2"/>
        <w:tblW w:w="10153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53"/>
        <w:gridCol w:w="5900"/>
        <w:tblGridChange w:id="0">
          <w:tblGrid>
            <w:gridCol w:w="4253"/>
            <w:gridCol w:w="5900"/>
          </w:tblGrid>
        </w:tblGridChange>
      </w:tblGrid>
      <w:tr>
        <w:trPr>
          <w:cantSplit w:val="0"/>
          <w:trHeight w:val="201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Разработчик рабочей программы:  &lt;br&gt;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type: placeholder: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Ф.И.О., должность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Рассмотрена и утверждена на заседании кафедры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the name of the department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Протокол № Input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от Input from Calendar&lt;br&gt;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Научная степень (dropdown: к.ф.н., 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д.ф.н., к.э.н., д.э.н, к.ю.н., д.э.н., PhD, MA), должность (dropdown: проф., доцент., ст.преп.,преп., prof., associate prof., assistant prof., lecturer),   Input type ФИО ответственного лица и аббревиатуру учебного заведения (When printed: TNR 14, Regular). &lt;br&gt;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Calendar: («число», месяц, год) (When printed: TNR, 14, Regular)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Бишкек – Dropdown (options: 2024, 2025, 2026, 2027, 2028, 2029, etc) Page bre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(оборотная сторона титульного листа Рабочей программы)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Рабочая программа по дисциплине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дисциплины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 разработана в соответствии с требованиями ГОС ВПО, по направлению: Input Type, placeholder: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код, наименование направления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(When printed: TNR 14, regular, left aligned)&lt;br&gt;&lt;br&gt;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Рабочая программа согласована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type, placeholder: Отдел и название учебного заведения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(When printed: TNR 14, regular, left aligned)&lt;br&gt;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Заведующий УМО          input 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placeholder: ФИО &lt;br&gt;Date pick up from calendar   (When printed: TNR 14, regular)&lt;br&gt;&lt;br&gt;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Рабочая программа согласована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 директором научной библиотеки input type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placeholder: название учебного заведения&lt;br&gt;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Директор научной библиотеки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input type, placeholder: ФИО&lt;br&gt;  Date pick up from calendar (When printed: TNR 14, regular, left aligned)&lt;br&gt;&lt;br&gt;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Внешняя рецензия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(место работы, должность, ученая степень, ученое звание, Ф.И.О.). &lt;br&gt;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pick up from calendar   (When printed: TNR 14, regular)&lt;br&gt;&lt;br&gt;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92"/>
        </w:tabs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92"/>
        </w:tabs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РАБОЧАЯ ПРОГРАММА УЧЕБНОЙ ДИСЦИПЛИНЫ (When printed: TNR14, Bold, Capitalized, centered)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Пояснительная записка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When printed: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TNR 14, bold, regular, left aligned)&lt;br&gt;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Миссия input 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ype, placeholder: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учебного заведения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using text area (when printed font TNR 14, regular, left aligned, indent 1.25cm, &lt;br&gt;)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Аннотация учебной дисциплины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Input using textarea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(placeholder: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краткое описание, актуальность и необходимость изучения дисциплины and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to and example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(when printed font TNR 14, regular, left aligned, indent 1.25cm, &lt;br&gt;)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и задачи дисциплины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using textarea (placeholder: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цели и задачи изучения дисциплины соотносятся с общими целями ООП по направлению/специальности.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освоения дисциплины, устанавливается, исходя из указанных компетенций, формируемых у обучающихся в ходе освоения дисциплины. Задачи дисциплины уточняют цель или показывают способы ее достижения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 to an example). (when printed font TNR 14, regular, left aligned, indent 1.25cm, &lt;br&gt;)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Место дисциплины в структуре ООП (пререквизиты, постреквизиты) – Input using textarea (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link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instructions such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приводится четкое определение места и роли в образовательной программе, показывается связь с другими дисциплинами (на какие дисциплины она опирается, какие дисциплины должна предварять).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Например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Данная дисциплина «___» входит в обязательную/элективную (оставить нужное) часть изучаемых дисциплин «____» цикла учебного плана и является обязательной для изучения дисциплиной/дисциплиной по выбору/факультативной дисциплиной (оставить нужное).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9"/>
          <w:tab w:val="left" w:leader="none" w:pos="993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Содержание дисциплины «….» основывается на содержании таких предшествующих дисциплин, как «….», «….», «….» (пререквизиты.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(необходимо указывать только те дисциплины, которые они реально проходили!!!).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последующем, знания, полученные в ходе изучения дисциплины «…», будут необходимы при изучении дисциплин: «….», «….», «….» (постреквизиты).)</w:t>
      </w:r>
    </w:p>
    <w:p w:rsidR="00000000" w:rsidDel="00000000" w:rsidP="00000000" w:rsidRDefault="00000000" w:rsidRPr="00000000" w14:paraId="00000064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ab/>
        <w:t xml:space="preserve">Компетенции обучающихся, формируемые в результате освоения дисциплины, планируемые результаты освоения учебной дисциплины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Input using textarea (a link to instructions and examples such as following for example: 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компетенции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 соответствии с ГОС ВПО, СПО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 направлению подготовки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Например: 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Компетенции обучающегося, формируемые в результате освоения дисциплины: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ОК- _______;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ПК- _______;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ДПК- ______.   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(Найти активные глаголы Таксономии Блума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 в интернете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сформулировать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ожидаемые результаты обучения по своей дисциплине).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После освоения данной дисциплины студент/обучающийся: 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 xml:space="preserve">…….).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0"/>
        </w:numPr>
        <w:spacing w:before="0" w:line="240" w:lineRule="auto"/>
        <w:ind w:left="567" w:hanging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Рекомендуемые образовательные технологии (format TTR, 14, bold)</w:t>
      </w:r>
    </w:p>
    <w:p w:rsidR="00000000" w:rsidDel="00000000" w:rsidP="00000000" w:rsidRDefault="00000000" w:rsidRPr="00000000" w14:paraId="0000006F">
      <w:pPr>
        <w:tabs>
          <w:tab w:val="left" w:leader="none" w:pos="567"/>
          <w:tab w:val="left" w:leader="none" w:pos="2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using textarea and a link to instructions such as: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реализации различных видов учебной работы указываются образовательные технологии, которые включают в себя: информационно-коммуникационные технологии; обучение в сотрудничестве (командная, групповая работа); технология использования игровых методов в обучении: деловые, ролевые и другие виды обучающих игр; технология развития «критического мышления»; здоровье сберегающие технологии; система оценки инноваций «портфолио»; развивающее обучение; проблемное обучение; различные уровни подготовки; система коллективного обучения (КСО); технология решения исследовательских задач (ТРИЗ); исследовательские методы обучения; проектные методы обучения;  интерактивные и активные методы, традиционная лекция, лекция-визуализация, проблемная лекция, лекция с элементами дискуссии, постановкой проблем; лекция-пресс-конференция, занятие-конференция, тренинг, дебаты, мозговой штурм, мастер-класс, «круглый стол», регламентированная дискуссия, дискуссия типа форум,  метод малых групп, занятия  с  использованием тренажёров, компьютерная симуляция, выполнение контрольных работ, решение «кейсовых задач», анализ конкретных ситуаций, разбор ситуационных задач,  использование  компьютерных  обучающих  программ, посещение  конференций,  консилиумов, подготовка  письменных  аналитических  работ,  подготовка и защита рефератов, докладов, эссе,  курсовых работ, проектная  технология  и др. </w:t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условиях онлайн обучения применяются дистанционные образовательные технологии.</w:t>
      </w:r>
    </w:p>
    <w:p w:rsidR="00000000" w:rsidDel="00000000" w:rsidP="00000000" w:rsidRDefault="00000000" w:rsidRPr="00000000" w14:paraId="00000071">
      <w:pPr>
        <w:tabs>
          <w:tab w:val="left" w:leader="none" w:pos="284"/>
        </w:tabs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Например: для освоения обучающихся учебной дисциплины «……», получения знаний и формирования профессиональных компетенций используются следующие образовательные технологии: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2127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лекции - электронные презентации;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2127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конкретных ситуаций;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2127"/>
        </w:tabs>
        <w:spacing w:after="0" w:before="0" w:line="24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ролевая игра и др."</w:t>
      </w:r>
    </w:p>
    <w:p w:rsidR="00000000" w:rsidDel="00000000" w:rsidP="00000000" w:rsidRDefault="00000000" w:rsidRPr="00000000" w14:paraId="00000075">
      <w:pPr>
        <w:pStyle w:val="Heading2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Объем дисциплины и виды учебной работы (format TTR, 14, bold)</w:t>
      </w:r>
    </w:p>
    <w:p w:rsidR="00000000" w:rsidDel="00000000" w:rsidP="00000000" w:rsidRDefault="00000000" w:rsidRPr="00000000" w14:paraId="00000076">
      <w:pPr>
        <w:tabs>
          <w:tab w:val="left" w:leader="none" w:pos="567"/>
          <w:tab w:val="left" w:leader="none" w:pos="212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using textarea and a link to instructions such as: 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Данные раздела представляются в табличной форме в соответствии с учебным планом. При этом указываются объемы аудиторных занятий (лекций, семинарских, практических и лабораторных занятий) и самостоятельной работы студента (общие и по семестрам, в которых изучается дисциплина), а также виды итогового контроля успеваемости.")</w:t>
      </w:r>
    </w:p>
    <w:p w:rsidR="00000000" w:rsidDel="00000000" w:rsidP="00000000" w:rsidRDefault="00000000" w:rsidRPr="00000000" w14:paraId="00000077">
      <w:pPr>
        <w:tabs>
          <w:tab w:val="left" w:leader="none" w:pos="1980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dropdown 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очная, заочная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tabs>
          <w:tab w:val="left" w:leader="none" w:pos="1980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table must be filled using php+MySQL and formatted exactly as here.</w:t>
      </w:r>
      <w:r w:rsidDel="00000000" w:rsidR="00000000" w:rsidRPr="00000000">
        <w:rPr>
          <w:rtl w:val="0"/>
        </w:rPr>
      </w:r>
    </w:p>
    <w:tbl>
      <w:tblPr>
        <w:tblStyle w:val="Table3"/>
        <w:tblW w:w="9242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3"/>
        <w:gridCol w:w="1276"/>
        <w:gridCol w:w="1417"/>
        <w:gridCol w:w="1488"/>
        <w:gridCol w:w="1489"/>
        <w:tblGridChange w:id="0">
          <w:tblGrid>
            <w:gridCol w:w="3573"/>
            <w:gridCol w:w="1276"/>
            <w:gridCol w:w="1417"/>
            <w:gridCol w:w="1488"/>
            <w:gridCol w:w="1489"/>
          </w:tblGrid>
        </w:tblGridChange>
      </w:tblGrid>
      <w:tr>
        <w:trPr>
          <w:cantSplit w:val="1"/>
          <w:trHeight w:val="339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учебному плану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dropdown options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2024,2025,2026,2027,2028,2029,2030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number of semester from dropdown options 1,2,3,4,5,6,7,8,9,10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-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number of semester from dropdown options 1,2,3,4,5,6,7,8,9,10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hours: input type, placeholder: ввести цифру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credits: input type, placeholder: ввести цифру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трудоемкость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auditory work+СРС+CРСП+Контрольная работа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auditory work+СРС+CРСП+Контрольная работа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automatically insert from table1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automatically insert from table1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Аудиторная работа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 of lecture, practical work, seminars, laboratory works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 of lecture, practical work, seminars, laboratory works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Лекции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Практические занятия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Лабораторные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СРСП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Контрольные работы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 type, placeholder: ввести часы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итогового контроля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dropdown menu (Экзамен, тест)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dropdown menu (Экзамен, тест)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 Структура дисциплины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TTR 14, bold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)&lt;br&gt;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134" w:top="1134" w:left="1843" w:right="850" w:header="283" w:footer="51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1.4.1. Тематический план изучения дисциплины (по семестрам)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using textarea, placeholder: a link to instructions such as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отражает структуру курса, раскрывает последовательность изучения разделов и тем программы; оформляется в виде таблицы и информирует о распределении объема часов по темам, видам занятий (лекции, семинары, практические занятия, лабораторные работы, самостоятельная работа студентов), формируемым компетенциям, используемым образовательным технологиям, способам и методам обучения, формам контроля."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table must be editable and use input, textarea, dropdown, and other forms and fields to collect data and produce the table. Format: TTR 12, regular. Columns with long headings (except the 1st and 2nd columns) can be written vertically. The cells 3,4,5,6,8,9 must be filled with dropdown with options: 1,2,3,4,5,6,7,8,9,10</w:t>
      </w:r>
    </w:p>
    <w:p w:rsidR="00000000" w:rsidDel="00000000" w:rsidP="00000000" w:rsidRDefault="00000000" w:rsidRPr="00000000" w14:paraId="000000B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Table Title: Тематический план изучения дисциплины и матрицы компетенций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(трудоёмкость указывается в академических часах) (TNR 14, bold, left aligned)&lt;br&gt;</w:t>
      </w:r>
    </w:p>
    <w:p w:rsidR="00000000" w:rsidDel="00000000" w:rsidP="00000000" w:rsidRDefault="00000000" w:rsidRPr="00000000" w14:paraId="000000BA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Рекомендуется модульное построение тематического плана, при этом модуль рассматривается как часть (раздел) дисциплины, после которой следует проверка знаний (рубежный контроль).</w:t>
      </w:r>
    </w:p>
    <w:p w:rsidR="00000000" w:rsidDel="00000000" w:rsidP="00000000" w:rsidRDefault="00000000" w:rsidRPr="00000000" w14:paraId="000000BB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Составляется тематический план строго в соответствии видов занятий и часовых нормативов рабочего учебного плана. Не допускается произвольное изменение часовой нагрузки и изменение соотношения между различными видами учебной работы. </w:t>
      </w:r>
    </w:p>
    <w:p w:rsidR="00000000" w:rsidDel="00000000" w:rsidP="00000000" w:rsidRDefault="00000000" w:rsidRPr="00000000" w14:paraId="000000BC">
      <w:pPr>
        <w:widowControl w:val="0"/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заочной формы обучения тематический план изучения дисциплины составляется отдельно: тематика занятий остается той же, что и на очном отделении, меняется объем часов по формам учебной работы в соответствии с рабочим учебным планом.</w:t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5451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3117"/>
        <w:gridCol w:w="571"/>
        <w:gridCol w:w="569"/>
        <w:gridCol w:w="708"/>
        <w:gridCol w:w="705"/>
        <w:gridCol w:w="711"/>
        <w:gridCol w:w="569"/>
        <w:gridCol w:w="853"/>
        <w:gridCol w:w="2126"/>
        <w:gridCol w:w="2698"/>
        <w:gridCol w:w="2259"/>
        <w:tblGridChange w:id="0">
          <w:tblGrid>
            <w:gridCol w:w="565"/>
            <w:gridCol w:w="3117"/>
            <w:gridCol w:w="571"/>
            <w:gridCol w:w="569"/>
            <w:gridCol w:w="708"/>
            <w:gridCol w:w="705"/>
            <w:gridCol w:w="711"/>
            <w:gridCol w:w="569"/>
            <w:gridCol w:w="853"/>
            <w:gridCol w:w="2126"/>
            <w:gridCol w:w="2698"/>
            <w:gridCol w:w="2259"/>
          </w:tblGrid>
        </w:tblGridChange>
      </w:tblGrid>
      <w:tr>
        <w:trPr>
          <w:cantSplit w:val="0"/>
          <w:trHeight w:val="42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Наименование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разделов и тем</w:t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дисциплины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(лекции и семинар/практические занятия)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for coding: Using textarea input the titles of lectures, seminars, practical work, laboratory work in the rows below. Add a code to add additional rows by the user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Аудиторные занятия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Всего часов на 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аудиторную работу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СРСП</w:t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Самостоятельная работа студента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Формируемые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компетенции</w:t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for coding: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field for codes of competencies (for example, ОК-1, ПК-8) and a link for instructions 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Используемые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образовательные</w:t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технологии, способы и методы обучения</w:t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for coding: In this column,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textarea with a placeholder and link (where instructions such as лекция с использованием видеоматериалов, discussion, group work, etc) the user enters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Примеры образовательных технологий, способов и методов обучения: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традиционная лекция, лекция-визуализация, проблемная лекция, лекция–пресс-конференция, занятие–конференция, тренинг, дебаты, мозговой штурм, мастер-класс, «круглый стол», регламентированная дискуссия, дискуссия типа форум, деловая и ролевая учебная игра, метод малых групп, компьютерная симуляция, использование компьютерных обучающих программ, подготовка письменных аналитических  работ,  подготовка  рефератов, эссе, докладов, курсовых работ, метод проектов,  экскурсии и т.д.)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printed these instructions should be ommited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</w:t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Формы текущего и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рубежного контроля</w:t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успеваемости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Instructions for coding: input field to enter the type of the control (устный опрос, тестирование, оценка освоения практических навыков (умений),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решение «кейсовых задач», решение ситуационных задач, контрольная работа, защита рефератов, эссе, докладов, курсовых работ и др.)</w:t>
            </w:r>
          </w:p>
        </w:tc>
      </w:tr>
      <w:tr>
        <w:trPr>
          <w:cantSplit w:val="1"/>
          <w:trHeight w:val="2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лекции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(write vertical)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семинары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практические занятия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ind w:left="113" w:right="1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Column Heading (TNR 12, regular, centered): лабораторные работы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1 лекция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1 семинар/практическое занятие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2 лекция</w:t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Тема 2 семинара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…..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ind w:right="11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Итого часов 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 дисциплине: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authomatucally put the summ of the column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spacing w:after="0" w:line="240" w:lineRule="auto"/>
        <w:ind w:left="-567" w:right="-595"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line="240" w:lineRule="auto"/>
        <w:ind w:right="-31"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1.4.2. Организация самостоятельной работы студентов (TTR 14, bold)&lt;br&gt;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field using textarea (TTR 14, regular)</w:t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link to instructions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Самостоятельная работа студентов - особая форма организации учебного процесса, представляющая собой планируемую, познавательно, организационно и методически направляемую деятельность студентов, ориентированную на достижение конкретного результата, осуществляемую без прямой помощи преподавателя. </w:t>
      </w:r>
    </w:p>
    <w:p w:rsidR="00000000" w:rsidDel="00000000" w:rsidP="00000000" w:rsidRDefault="00000000" w:rsidRPr="00000000" w14:paraId="0000016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Организовать самостоятельную работу студентов – значит составить план, в котором указать тематику самостоятельной работы и задание к теме, срок сдачи работы, подобрать учебную, справочную, методическую и научную литературу. </w:t>
      </w:r>
    </w:p>
    <w:p w:rsidR="00000000" w:rsidDel="00000000" w:rsidP="00000000" w:rsidRDefault="00000000" w:rsidRPr="00000000" w14:paraId="0000016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Задания для самостоятельной работы студента должны быть четко сформулированы, разграничены по темам изучаемой дисциплины, и их объем должен быть определен часами, отведенными в учебной программе.</w:t>
      </w:r>
    </w:p>
    <w:p w:rsidR="00000000" w:rsidDel="00000000" w:rsidP="00000000" w:rsidRDefault="00000000" w:rsidRPr="00000000" w14:paraId="0000016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учебного процесса взаимосвязаны три вида учебной нагрузки студента, которые входят в понятие общей трудоемкости изучения дисциплины:</w:t>
      </w:r>
    </w:p>
    <w:p w:rsidR="00000000" w:rsidDel="00000000" w:rsidP="00000000" w:rsidRDefault="00000000" w:rsidRPr="00000000" w14:paraId="00000169">
      <w:pPr>
        <w:numPr>
          <w:ilvl w:val="0"/>
          <w:numId w:val="18"/>
        </w:numPr>
        <w:spacing w:after="0" w:line="240" w:lineRule="auto"/>
        <w:ind w:left="652" w:hanging="2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аудиторная работа в виде традиционных форм: лекции, семинары, практические занятия и т.п.;</w:t>
      </w:r>
    </w:p>
    <w:p w:rsidR="00000000" w:rsidDel="00000000" w:rsidP="00000000" w:rsidRDefault="00000000" w:rsidRPr="00000000" w14:paraId="0000016A">
      <w:pPr>
        <w:numPr>
          <w:ilvl w:val="0"/>
          <w:numId w:val="18"/>
        </w:numPr>
        <w:spacing w:after="0" w:line="240" w:lineRule="auto"/>
        <w:ind w:left="652" w:hanging="2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самостоятельная работа студентов: аудиторная, внеаудиторная, творческая, в том числе научно-исследовательская работа;</w:t>
      </w:r>
    </w:p>
    <w:p w:rsidR="00000000" w:rsidDel="00000000" w:rsidP="00000000" w:rsidRDefault="00000000" w:rsidRPr="00000000" w14:paraId="0000016B">
      <w:pPr>
        <w:numPr>
          <w:ilvl w:val="0"/>
          <w:numId w:val="18"/>
        </w:numPr>
        <w:spacing w:after="0" w:line="240" w:lineRule="auto"/>
        <w:ind w:left="652" w:hanging="295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индивидуальные консультации по ходу выполнения самостоятельных заданий, контроль и оценка результатов индивидуальных заданий.</w:t>
      </w:r>
    </w:p>
    <w:p w:rsidR="00000000" w:rsidDel="00000000" w:rsidP="00000000" w:rsidRDefault="00000000" w:rsidRPr="00000000" w14:paraId="0000016C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Согласно ГОС ВПО, самостоятельная работа подразделяется на два вида: СРСП и СРС.</w:t>
      </w:r>
    </w:p>
    <w:p w:rsidR="00000000" w:rsidDel="00000000" w:rsidP="00000000" w:rsidRDefault="00000000" w:rsidRPr="00000000" w14:paraId="0000016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СРСП (аудиторная самостоятельная работа студентов)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планируемая работа студентов, выполняемая по заданию и при методическом руководстве и непосредственном участии преподавателя. Основная задача преподавателя – обучение студента способам самостоятельной работы с материалом, поиску нужного материала, умению перерабатывать и интерпретировать его.  </w:t>
      </w:r>
    </w:p>
    <w:p w:rsidR="00000000" w:rsidDel="00000000" w:rsidP="00000000" w:rsidRDefault="00000000" w:rsidRPr="00000000" w14:paraId="0000016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видами самостоятельной работы студентов с участием преподавателей являются: 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текущие консультации; 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приём и разбор домашних заданий (в часы практических занятий);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курсовых работ (проектов) в рамках дисциплины (руководство, консультирование и защита курсовых работ);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самостоятельных заданий на семинарских, практических, лабораторных занятиях;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прохождение и оформление результатов практик (руководство и оценка уровня сформированности профессиональных умений и навыков);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выпускной квалификационной работы (руководство, консультирование и защита выпускных квалификационных работ);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учебно-исследовательской работы (руководство, консультирование и защита УИРС).</w:t>
      </w:r>
    </w:p>
    <w:p w:rsidR="00000000" w:rsidDel="00000000" w:rsidP="00000000" w:rsidRDefault="00000000" w:rsidRPr="00000000" w14:paraId="0000017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СРС (внеаудиторная самостоятельная работа студентов)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планируемая учебная, учебно-исследовательская, научно-исследовательская работа обучающихся, которая выполняется во внеаудиторное время по заданию и при методическом руководстве и контроле преподавателя, но без его непосредственного участия.</w:t>
      </w:r>
    </w:p>
    <w:p w:rsidR="00000000" w:rsidDel="00000000" w:rsidP="00000000" w:rsidRDefault="00000000" w:rsidRPr="00000000" w14:paraId="0000017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видами самостоятельной работы студентов без участия преподавателей являются: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рефератов, докладов, эссе;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составление аннотированного списка статей;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домашних заданий в виде решения отдельных задач, проведения типовых расчетов, расчетно-компьютерных и индивидуальных работ по отдельным разделам содержания дисциплин и т.д.;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презентаций по конкретной теме;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компьютерный текущий самоконтроль на базе электронных обучающих и аттестующих тестов.</w:t>
      </w:r>
    </w:p>
    <w:p w:rsidR="00000000" w:rsidDel="00000000" w:rsidP="00000000" w:rsidRDefault="00000000" w:rsidRPr="00000000" w14:paraId="0000017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Положением о НИРС (утвержденного протоколом УС от 11 сентября 2018 года, протокол № 43)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программу научно-исследовательской работы студентов (НИРС), как компонента освоения практических умений, входят: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научные исследования в учебное время при выполнении практических, курсовых и квалификационных работ;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конкретных нетиповых заданий научно-исследовательского характера в период производственной или учебной практики;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специальной литературы и другой научной информации, достижений отечественной и зарубежной науки и техники в области изучаемой специальности, подготовка научных рефератов (обзоров литературы);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проведении научных исследований или в выполнении определенных разработок на кафедрах УНПК «МУК»;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осуществление сбора, обработки, анализа и систематизации научной информации по теме или по заданию;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отчетов и выступление с докладом на конференции, подготовка научной работы к публикации;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массовых мероприятиях системы НИРС (студенческие научные конференции, семинары, предметные олимпиады, конкурсы, «Неделя науки», выставки, дискуссии, диспуты и т.п.).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ind w:right="23" w:firstLine="425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План организации самостоятельной работы студента</w:t>
      </w:r>
    </w:p>
    <w:tbl>
      <w:tblPr>
        <w:tblStyle w:val="Table5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552"/>
        <w:gridCol w:w="3544"/>
        <w:gridCol w:w="1701"/>
        <w:gridCol w:w="992"/>
        <w:tblGridChange w:id="0">
          <w:tblGrid>
            <w:gridCol w:w="562"/>
            <w:gridCol w:w="2552"/>
            <w:gridCol w:w="3544"/>
            <w:gridCol w:w="1701"/>
            <w:gridCol w:w="992"/>
          </w:tblGrid>
        </w:tblGridChange>
      </w:tblGrid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Тема самостоятельной работы студента: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(в соответствии с тематическим планом)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Задание на СРС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Рекомендуемая 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литература</w:t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 теме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Сроки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сдачи</w:t>
            </w:r>
          </w:p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(номер недели)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1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Реферат по теме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Лит 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2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задания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Лит 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3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таблицы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Лит 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4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презентации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Лит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Примеры видов заданий на СРС: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текущая работа с лекционным материалом, предусматривающая проработку конспекта лекций и учебной литературы; поиск (подбор) и обзор литературы и электронных источников информации по индивидуально заданной проблеме курса;  изучение материала, вынесенного на самостоятельную проработку; домашнее задание или домашняя контрольная работа, предусматривающее решение задач, выполнение упражнений и т.п. и выдаваемое либо на каждом практическом занятии, либо одновременно ко всем практическим занятиям по теме или разделу дисциплины;  задание по переводу по иностранным языкам; подготовка к лабораторным занятиям; подготовка к практическим и семинарским занятиям; практикум по учебной дисциплине с использованием программного обеспечения; подготовка к контрольной работе; подготовка к экзамену; написание реферата, доклада, эссе по заданной проблеме; выполнение расчетно-графической работы; выполнение курсовой работы или проекта; участие в научных студенческих конференциях и семинарах; аналитический разбор научной публикации по заранее определенной преподавателем теме; анализ статистических и фактический материалов по заданной теме, проведение расчетов, составление схем и моделей на основе статистических материалов.</w:t>
      </w:r>
    </w:p>
    <w:p w:rsidR="00000000" w:rsidDel="00000000" w:rsidP="00000000" w:rsidRDefault="00000000" w:rsidRPr="00000000" w14:paraId="000001B1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1.4.3. Оценочные средства контроля успеваемости</w:t>
      </w:r>
    </w:p>
    <w:p w:rsidR="00000000" w:rsidDel="00000000" w:rsidP="00000000" w:rsidRDefault="00000000" w:rsidRPr="00000000" w14:paraId="000001B2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Текущий (формативный) и рубежный (суммативный) контроль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проводится в течение определенного периода обучения, семестра или модуля в соответствии с календарным графиком.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tabs>
          <w:tab w:val="left" w:leader="none" w:pos="567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При формативном и суммативном контроле используются следующие оценочные средства: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устный опрос,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выполнения письменных домашних заданий;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ситуационных задач,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практических заданий,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проверку письменных контрольных работ,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по теме, по разделу (модулю),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проверку рефератов, эссе, докладов и др.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ab/>
        <w:t xml:space="preserve">Формативный и суммативный контроль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 – проводится по окончании изучения учебной дисциплины или части дисциплины в конце семестра.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ab/>
        <w:t xml:space="preserve">В разделе указывается форма контроля, применяемая по итогам освоения дисциплины, и контрольные вопросы по дисциплине.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1BE">
      <w:pPr>
        <w:shd w:fill="ffffff" w:val="clear"/>
        <w:tabs>
          <w:tab w:val="left" w:leader="none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yellow"/>
          <w:rtl w:val="0"/>
        </w:rPr>
        <w:tab/>
        <w:t xml:space="preserve">Итоговый контроль – проводится по окончании изучения учебной дисциплины, формой контроля является письменный экзамен или тест или др.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f" w:val="clear"/>
        <w:tabs>
          <w:tab w:val="left" w:leader="none" w:pos="426"/>
        </w:tabs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УМК должен содержать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Приложение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Фонд оценочных средств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», которое составлено согласно «Положению о фонде оценочных средств образовательной программы», от 12 июля 2018 года. (приложение включает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задания для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контроля: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тесты, ситуационные задачи, задания для письменных контрольных работ, темы рефератов и докладов, контрольные вопросы по дисциплине, тематика курсовых работ (если предусмотрены учебным планом). </w:t>
      </w:r>
    </w:p>
    <w:p w:rsidR="00000000" w:rsidDel="00000000" w:rsidP="00000000" w:rsidRDefault="00000000" w:rsidRPr="00000000" w14:paraId="000001C0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1.4.4. Политика курса и критерии оценивания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Политика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этом разделе необходимо показать политику курса: систему требований, которую каждый преподаватель определяет самостоятельно в соответствии со спецификой своей дисциплины.</w:t>
      </w:r>
    </w:p>
    <w:p w:rsidR="00000000" w:rsidDel="00000000" w:rsidP="00000000" w:rsidRDefault="00000000" w:rsidRPr="00000000" w14:paraId="000001C3">
      <w:pPr>
        <w:tabs>
          <w:tab w:val="left" w:leader="none" w:pos="28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Например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tabs>
          <w:tab w:val="left" w:leader="none" w:pos="284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Политика учебной дисциплины: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Обязательное посещение занятий.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Активное участие студента на практических занятиях, предварительная подготовка и выполнение домашнего задания.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Качественное и своевременное выполнение заданий по СРС и СРСП.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во всех видах контроля (формативный, суммативный, итоговый).</w:t>
      </w:r>
    </w:p>
    <w:p w:rsidR="00000000" w:rsidDel="00000000" w:rsidP="00000000" w:rsidRDefault="00000000" w:rsidRPr="00000000" w14:paraId="000001C9">
      <w:pPr>
        <w:tabs>
          <w:tab w:val="left" w:leader="none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требования: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Пропущенное занятие подлежит отработке;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83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недопустимо: пользование сотовыми телефонами во время занятий (в личных целях), несвоевременная сдача заданий, несоблюдение субординации и правил поведения.</w:t>
      </w:r>
    </w:p>
    <w:p w:rsidR="00000000" w:rsidDel="00000000" w:rsidP="00000000" w:rsidRDefault="00000000" w:rsidRPr="00000000" w14:paraId="000001CC">
      <w:pPr>
        <w:tabs>
          <w:tab w:val="left" w:leader="none" w:pos="284"/>
          <w:tab w:val="right" w:leader="none" w:pos="8505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Критерии оценивания </w:t>
      </w:r>
    </w:p>
    <w:p w:rsidR="00000000" w:rsidDel="00000000" w:rsidP="00000000" w:rsidRDefault="00000000" w:rsidRPr="00000000" w14:paraId="000001C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этом разделе необходимо представить критерии оценки при проведении формативного и суммативного контроля.</w:t>
      </w:r>
    </w:p>
    <w:p w:rsidR="00000000" w:rsidDel="00000000" w:rsidP="00000000" w:rsidRDefault="00000000" w:rsidRPr="00000000" w14:paraId="000001C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и оценка знаний, обучающихся осуществляется с применением модульно-балльно рейтинговой системы в соответствии с «Положение об организации учебного процесса по кредитной технологии обучения В НОУ УНПК «МУК»».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567"/>
          <w:tab w:val="left" w:leader="none" w:pos="709"/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Количество баллов, предусмотренных на каждый модуль дисциплины, складывается из максимальных баллов всех оцениваемых видов деятельности.  </w:t>
        <w:tab/>
        <w:t xml:space="preserve">Оценка каждого модуля на степень усвоения учебного материала завершается суммативным и итоговым контролем.</w:t>
      </w:r>
    </w:p>
    <w:p w:rsidR="00000000" w:rsidDel="00000000" w:rsidP="00000000" w:rsidRDefault="00000000" w:rsidRPr="00000000" w14:paraId="000001D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выставления баллов включают в себя формативный, суммативный контроль и самостоятельную работу.</w:t>
      </w:r>
    </w:p>
    <w:p w:rsidR="00000000" w:rsidDel="00000000" w:rsidP="00000000" w:rsidRDefault="00000000" w:rsidRPr="00000000" w14:paraId="000001D1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</w:t>
      </w:r>
    </w:p>
    <w:tbl>
      <w:tblPr>
        <w:tblStyle w:val="Table6"/>
        <w:tblW w:w="9346.0" w:type="dxa"/>
        <w:jc w:val="left"/>
        <w:tblInd w:w="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46"/>
        <w:gridCol w:w="2093"/>
        <w:gridCol w:w="1867"/>
        <w:gridCol w:w="1870"/>
        <w:gridCol w:w="1870"/>
        <w:tblGridChange w:id="0">
          <w:tblGrid>
            <w:gridCol w:w="1646"/>
            <w:gridCol w:w="2093"/>
            <w:gridCol w:w="1867"/>
            <w:gridCol w:w="1870"/>
            <w:gridCol w:w="1870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D4">
            <w:pPr>
              <w:spacing w:after="0" w:line="240" w:lineRule="auto"/>
              <w:ind w:left="12" w:right="5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Суммативный контроль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ind w:left="541" w:right="483" w:hanging="43.999999999999986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Всего за модуль</w:t>
            </w:r>
          </w:p>
        </w:tc>
      </w:tr>
      <w:tr>
        <w:trPr>
          <w:cantSplit w:val="0"/>
          <w:trHeight w:val="358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9">
            <w:pPr>
              <w:spacing w:after="0" w:line="240" w:lineRule="auto"/>
              <w:ind w:left="40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 баллов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ind w:left="10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ind w:left="10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ind w:left="109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 баллов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Формативный контроль (текущий балл)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spacing w:after="0" w:line="240" w:lineRule="auto"/>
              <w:ind w:left="677" w:right="368" w:hanging="30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Итоговый балл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ind w:left="677" w:right="368" w:hanging="301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 модуль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СРС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б.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A">
            <w:pPr>
              <w:spacing w:after="0" w:line="240" w:lineRule="auto"/>
              <w:ind w:left="1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б.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б.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ind w:left="10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б.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ind w:left="12" w:right="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б.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ind w:left="107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3">
            <w:pPr>
              <w:spacing w:after="0" w:line="240" w:lineRule="auto"/>
              <w:ind w:left="12" w:right="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критериях выставления баллов 60(40+20)/40 каждый преподаватель расписывает по своей дисциплине названия заданий, работ или контроля, а также ранжирование баллов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свое усмотрение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 примеру:</w:t>
      </w:r>
    </w:p>
    <w:p w:rsidR="00000000" w:rsidDel="00000000" w:rsidP="00000000" w:rsidRDefault="00000000" w:rsidRPr="00000000" w14:paraId="000001F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2</w:t>
      </w:r>
    </w:p>
    <w:tbl>
      <w:tblPr>
        <w:tblStyle w:val="Table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2127"/>
        <w:gridCol w:w="2120"/>
        <w:tblGridChange w:id="0">
          <w:tblGrid>
            <w:gridCol w:w="5098"/>
            <w:gridCol w:w="2127"/>
            <w:gridCol w:w="2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Суммативный контроль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выставления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1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 б.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 2/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60 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Формативный контроль: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баллов (40+20)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баллов (40+20)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Например: аудиторная работа, активное участие на занятии, выполнение всех заданий, освоения практических навыков, решение задач, работа с глоссарием, задания по переводу, аудирование, письмо, разговорные темы…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Итоговый балл за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Например: устный опрос, письменная/лабораторная/ контрольная работа, тестирование, решение задач (кейс задачи, ситуационные), устный опрос/ тестирование, контрольная работа/ решение задач…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Можно разделить на устный опрос/письменный контроль, тестирование …..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Самостоятельная работа: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40 баллов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40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Например: презентация, доклад или эссе, реферат, научные исследования, написание статьи, проектная работа, лабораторная работа, расчет, анализ…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баллов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 по дисциплине: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 баллов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100 баллов</w:t>
            </w:r>
          </w:p>
        </w:tc>
      </w:tr>
    </w:tbl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Примерная шкала перевода 60 баллов в оценку</w:t>
      </w:r>
    </w:p>
    <w:p w:rsidR="00000000" w:rsidDel="00000000" w:rsidP="00000000" w:rsidRDefault="00000000" w:rsidRPr="00000000" w14:paraId="0000023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3</w:t>
      </w:r>
    </w:p>
    <w:tbl>
      <w:tblPr>
        <w:tblStyle w:val="Table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шкала (из 60 баллов)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академическая 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0-32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«2» (неудовлетворительно)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33-41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«3» (удовлетворительно)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42-50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«4» (хорошо)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51-60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«5» (отлично)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Примерная шкала перевода 40 баллов в оценку </w:t>
      </w:r>
    </w:p>
    <w:p w:rsidR="00000000" w:rsidDel="00000000" w:rsidP="00000000" w:rsidRDefault="00000000" w:rsidRPr="00000000" w14:paraId="000002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4</w:t>
      </w:r>
    </w:p>
    <w:tbl>
      <w:tblPr>
        <w:tblStyle w:val="Table9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шкала (из 40 баллов)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академическая 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0-21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«2» (неудовлетворительно)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22-27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«3» (удовлетворительно)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87-33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«4» (хорошо)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34-40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«5» (отлично)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Примерная шкала перевода 20 баллов в оценку </w:t>
      </w:r>
    </w:p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5</w:t>
      </w:r>
    </w:p>
    <w:tbl>
      <w:tblPr>
        <w:tblStyle w:val="Table10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3"/>
        <w:tblGridChange w:id="0">
          <w:tblGrid>
            <w:gridCol w:w="4672"/>
            <w:gridCol w:w="467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шкала (из 20 баллов)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академическая 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0-10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«2» (неудовлетворительно)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11-13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«3» (удовлетворительно)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14-16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«4» (хорошо)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17-20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«5» (отлично)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1.4.5. Учебно-методическое и информационное обеспечение дисциплины </w:t>
      </w:r>
    </w:p>
    <w:p w:rsidR="00000000" w:rsidDel="00000000" w:rsidP="00000000" w:rsidRDefault="00000000" w:rsidRPr="00000000" w14:paraId="000002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указываются рекомендуемые учебники, учебные пособия и Интернет-ресурсы:    </w:t>
      </w:r>
    </w:p>
    <w:p w:rsidR="00000000" w:rsidDel="00000000" w:rsidP="00000000" w:rsidRDefault="00000000" w:rsidRPr="00000000" w14:paraId="0000026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а) основная литература;</w:t>
      </w:r>
    </w:p>
    <w:p w:rsidR="00000000" w:rsidDel="00000000" w:rsidP="00000000" w:rsidRDefault="00000000" w:rsidRPr="00000000" w14:paraId="000002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б) дополнительная литература;</w:t>
      </w:r>
    </w:p>
    <w:p w:rsidR="00000000" w:rsidDel="00000000" w:rsidP="00000000" w:rsidRDefault="00000000" w:rsidRPr="00000000" w14:paraId="000002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в) программное обеспечение и Интернет-ресурсы.</w:t>
      </w:r>
    </w:p>
    <w:p w:rsidR="00000000" w:rsidDel="00000000" w:rsidP="00000000" w:rsidRDefault="00000000" w:rsidRPr="00000000" w14:paraId="0000026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Рекомендуемые источники должны соответствовать изданиям и электронным ресурсам, имеющимся в наличии в фонде Научной библиотеки НОУ УНПК «МУК», постоянно пополняющемся в соответствии с заявками кафедр.</w:t>
      </w:r>
    </w:p>
    <w:p w:rsidR="00000000" w:rsidDel="00000000" w:rsidP="00000000" w:rsidRDefault="00000000" w:rsidRPr="00000000" w14:paraId="00000265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1.4.6. Материально-техническое обеспечение дисциплины</w:t>
      </w:r>
    </w:p>
    <w:p w:rsidR="00000000" w:rsidDel="00000000" w:rsidP="00000000" w:rsidRDefault="00000000" w:rsidRPr="00000000" w14:paraId="0000026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Указывается необходимое для обучения оборудование, демонстрационные приборы, мультимедийные средства, учебные фильмы, тренажеры (муляжи), карты, плакаты, наглядные пособия; требования к аудиториям – компьютерные классы, академические или специально оборудованные аудитории и лаборатории, наличие интерактивной доски, проекторы, специально оборудованные лингафонные аудитории, зал судебных заседаний.</w:t>
      </w:r>
    </w:p>
    <w:p w:rsidR="00000000" w:rsidDel="00000000" w:rsidP="00000000" w:rsidRDefault="00000000" w:rsidRPr="00000000" w14:paraId="0000026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26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изучения дисциплины «___» требуются: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наличие интерактивной панели;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наглядные пособия;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колонки/спичрайтеры для прослушивания аудиозаписей.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D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УЧЕБНО-МЕТОДИЧЕСКИЕ МАТЕРИАЛЫ</w:t>
      </w:r>
    </w:p>
    <w:p w:rsidR="00000000" w:rsidDel="00000000" w:rsidP="00000000" w:rsidRDefault="00000000" w:rsidRPr="00000000" w14:paraId="0000026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Учебно-методические материалы (УММ), как методическое обеспечение дисциплины, представляется в виде текстов лекций, планов семинарских, практических занятий, лабораторных работ (включая раздаточные материалы) как в печатном, так и в электронном виде.</w:t>
      </w:r>
    </w:p>
    <w:p w:rsidR="00000000" w:rsidDel="00000000" w:rsidP="00000000" w:rsidRDefault="00000000" w:rsidRPr="00000000" w14:paraId="0000026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Конспект лекций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указываются: темы лекций в соответствии с тематическим планом, цель, рассматриваемые вопросы, образовательные технологии, литература по теме (основная и дополнительная).</w:t>
      </w:r>
    </w:p>
    <w:p w:rsidR="00000000" w:rsidDel="00000000" w:rsidP="00000000" w:rsidRDefault="00000000" w:rsidRPr="00000000" w14:paraId="0000027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План практических / семинарских / лабораторных занятий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–  указывается  форма проведения занятия,  тема занятия (в соответствии с тематическим планом),  цель,  перечень  вопросов для  обсуждения  на  данном занятии, образовательные технологии,  учебно-дидактические материалы по рассматриваемым вопросам (вопросы, упражнения, задания, задачи), задания для самостоятельной работы студентов (СРСП), в случае необходимости – контрольные задания для выявления степени усвоения знаний студентами, литература к занятию.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МЕТОДИЧЕСКИЕ РЕКОМЕНДАЦИИ ДЛЯ СТУДЕНТОВ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рекомендации для студентов по изучению дисциплины представляют собой комплекс рекомендаций и разъяснений, позволяющих студенту оптимальным образом организовать процесс изучения данной дисциплины.  При разработке рекомендаций необходимо исходить из того, что часть курса изучается студентами самостоятельно.</w:t>
      </w:r>
    </w:p>
    <w:p w:rsidR="00000000" w:rsidDel="00000000" w:rsidP="00000000" w:rsidRDefault="00000000" w:rsidRPr="00000000" w14:paraId="00000273">
      <w:pPr>
        <w:spacing w:after="0" w:line="240" w:lineRule="auto"/>
        <w:ind w:firstLine="28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Методические рекомендации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изучению дисциплины, которые должны входить в состав УМК:</w:t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Методические рекомендации по выполнению СРСП, СРС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</w:t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Внеаудиторная самостоятельная работа студентов (далее самостоятельная работа) - планируемая учебная, учебно-исследовательская, научно-исследовательская деятельность студентов, осуществляемая во внеаудиторное время по заданию и при методическом руководстве преподавателя, но без его непосредственного участия. Она включает в себя: </w:t>
      </w:r>
    </w:p>
    <w:p w:rsidR="00000000" w:rsidDel="00000000" w:rsidP="00000000" w:rsidRDefault="00000000" w:rsidRPr="00000000" w14:paraId="00000277">
      <w:pPr>
        <w:spacing w:after="0" w:line="240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подготовку к аудиторным занятиям (лекциям, практическим, семинарским и др.) и выполнение соответствующих заданий;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самостоятельную работу над отдельными темами учебных дисциплин в соответствии с учебно-тематическими планами;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курсовых работ, рефератов, докладов;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подготовку ко всем видам практики и выполнение предусмотренных ими заданий;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подготовку ко всем видам контрольных испытаний, в том числе к комплексным экзаменам и зачетам;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подготовку к итоговой государственной аттестации, в том числе выполнение выпускной квалификационной работе;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другие виды деятельности, организуемой и осуществляемой вузом, факультетом или кафедрой.</w:t>
      </w:r>
    </w:p>
    <w:p w:rsidR="00000000" w:rsidDel="00000000" w:rsidP="00000000" w:rsidRDefault="00000000" w:rsidRPr="00000000" w14:paraId="0000027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Выполнение любого вида самостоятельной работы предполагает прохождение студентами следующих этапов: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определение цели самостоятельной работы;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конкретизация познавательной (проблемной или практической) задачи;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планирование самостоятельной работы;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программы выполнения самостоятельной работы. 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426"/>
          <w:tab w:val="left" w:leader="none" w:pos="709"/>
          <w:tab w:val="left" w:leader="none" w:pos="851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рекомендации по выполнению практических/семинарских занятий, лабораторных работ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Например: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 каждым практическим/семинарским занятием студент изучает план занятия с перечнем тем и вопросов, списком литературы и домашним заданием по вынесенному на занятие материалу. Студенту рекомендуется следующая схема подготовки к практическому/семинарскому занятию: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проработать конспект лекций;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прочитать основную и дополнительную литературу, рекомендованную по изучаемому разделу;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ответить на вопросы плана практического/семинарского занятия;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изучить тематику и подобрать литературу для написания рефератов, докладов и т.д.;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выполнить домашние задания;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</w:t>
        <w:tab/>
        <w:t xml:space="preserve">все виды самостоятельной работы предполагают подготовку по указанному списку литературы;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  <w:tab/>
        <w:t xml:space="preserve">при затруднениях, сформулировать вопросы к преподавателю.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по выполнению рефератов, докладов, эссе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(Каждый преподаватель может дать свои требования)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Реферат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–краткое изложение содержания документа или его части, научной работы, включающее основные фактические сведения и выводы, необходимые для первоначального ознакомления с источниками и определения целесообразности обращения к ним. Современные требования к реферату – точность и объективность в передаче сведений, полнота отображения основных элементов, как по содержанию, так и по форме.</w:t>
      </w:r>
    </w:p>
    <w:p w:rsidR="00000000" w:rsidDel="00000000" w:rsidP="00000000" w:rsidRDefault="00000000" w:rsidRPr="00000000" w14:paraId="0000029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Дать требования к оформлению реферата: …….</w:t>
      </w:r>
    </w:p>
    <w:p w:rsidR="00000000" w:rsidDel="00000000" w:rsidP="00000000" w:rsidRDefault="00000000" w:rsidRPr="00000000" w14:paraId="0000029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Доклад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это официальное сообщение, взгляд автора на ситуацию или проблему, анализ и возможные пути решения проблемы.  </w:t>
        <w:tab/>
        <w:t xml:space="preserve">Доклад должен сразу планироваться как устное выступление. Устное выступление должно хорошо восприниматься на слух, то есть быть интересно поданным для аудитории. Для представления устного доклада полезно составить тезисы – опорные пункты выступления докладчика (обоснование актуальности, описание сути работы, выводы), ключевые слова, которые помогают логически стройному изложению темы. </w:t>
      </w:r>
    </w:p>
    <w:p w:rsidR="00000000" w:rsidDel="00000000" w:rsidP="00000000" w:rsidRDefault="00000000" w:rsidRPr="00000000" w14:paraId="0000029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Эссе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это творческая работа, позволяющая осмыслить определенную проблему и изложить свои мысли в письменном виде.</w:t>
      </w:r>
    </w:p>
    <w:p w:rsidR="00000000" w:rsidDel="00000000" w:rsidP="00000000" w:rsidRDefault="00000000" w:rsidRPr="00000000" w14:paraId="0000029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 работы – раскрыть предложенную тему путем приведения каких-либо аргументов. </w:t>
      </w:r>
    </w:p>
    <w:p w:rsidR="00000000" w:rsidDel="00000000" w:rsidP="00000000" w:rsidRDefault="00000000" w:rsidRPr="00000000" w14:paraId="0000029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Эссе содержит идею и развивает только один вариант размышлений. При написании эссе необходимо отвечать четко на поставленный вопрос и не отклоняться от темы. </w:t>
      </w:r>
    </w:p>
    <w:p w:rsidR="00000000" w:rsidDel="00000000" w:rsidP="00000000" w:rsidRDefault="00000000" w:rsidRPr="00000000" w14:paraId="0000029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Эссе — это индивидуальная работа и не может быть в соавторстве.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Написание эссе осуществляется на семинаре по одной из предложенных тем.</w:t>
      </w:r>
    </w:p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Объем эссе обычно составляет не более 2-3 страниц.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указания по подготовке к итоговому контролю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5"/>
          <w:tab w:val="left" w:leader="none" w:pos="180"/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Например: (при подготовке к письменному контролю)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Экзамен является заключительным этапом изучения всей дисциплины или ее части и преследует цель проверить полученные студентом теоретические знания.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экзамену допускаются студенты, выполнившие в полном объеме задания, предусмотренные рабочей программой. В том случае, если допущены пропуски аудиторных занятий (по уважительной или неуважительной причине), студенты самостоятельно выполняют и сдают на проверку задания, предложенные преподавателем.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Готовиться к экзамену необходимо последовательно, с учетом контрольных вопросов, разработанных преподавателем.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Сначала следует определить место каждого контрольного вопроса в соответствующем разделе темы учебной программы, а затем внимательно прочитать и осмыслить соответствующую основную и дополнительную литературу.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обеспечения полноты ответа рекомендуется составлять план ответа по каждому вопросу.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Работу над темой можно считать завершенной, если студент может ответить на все контрольные вопросы и дать определение понятий по изучаемой теме.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подготовке необходимо выявлять наиболее сложные, дискуссионные вопросы с тем, чтобы обсудить их с преподавателем на консультациях. Нельзя ограничивать подготовку к экзамену простым повторением изученного материала.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Методические рекомендации по научно-исследовательской работе студента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Основной целью НИРС является формирование и усиление творческих способностей студентов, развитие и совершенствование форм привлечения молодежи к научной, творческой и внедренческой деятельности, обеспечивающих единство учебного, научного, воспитательного процессов для повышения профессионального уровня подготовки специалистов с высшим образованием.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Задачи организации и развития системы НИРС: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Воспитание творческого отношения студентов к своей специальности через исследовательскую деятельность, содействие развитию личностных и профессиональных качеств будущих специалистов.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условий для формирования будущего специалиста и ученого, включая воспитание высоких моральных качеств.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интереса у студентов университета к исследованиям как основе для создания новых знаний.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студенческих научных коммуникаций в университете.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Диагностика и развитие научного потенциала студентов УНПК «МУК».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Выявление, обучение и поддержка способных и талантливых студентов УНПК «МУК», имеющих выраженную мотивацию к научной деятельности.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мотивации у студентов к более углубленному и творческому освоению учебного материала через участие в исследовательской работе.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Распространение среди студентов университета различных форм научного творчества в соответствии с принципами единства науки и практики.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студентов методике самостоятельного решения научных проблем, навыкам научного познания и работы в исследовательских коллективах, ознакомление с методами организации их деятельности.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Содействие эффективному профессиональному отбору наиболее способных студентов для различных форм послевузовского образования.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НИРС университета подразделяется на следующие виды: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146" w:right="0" w:hanging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НИРС, встроенная в учебный процесс;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146" w:right="0" w:hanging="72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НИРС, дополняющая учебный процесс.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НИРС, встроенная в учебный процесс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выполняется в соответствии с учебными планами и программами, обеспечивается методическими пособиями и предусматривает учебно-исследовательскую работу в рамках программы высшего профессионального образования по учебному плану конкретной специальности.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Основными организационными формами НИРС, встроенной в учебный процесс, являются: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научный реферат, курсовая или выпускная квалификационная работа;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индивидуальные научно-исследовательские работы студентов;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научно-исследовательская работа в ходе прохождения учебной или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производственной практики.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НИРС, дополняющая учебный процесс,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предусматривает самостоятельную работу вне рамок непосредственной программы высшего профессионального образования и способствует наиболее полному освоению методов и специфики научно-исследовательской работы.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организационными формами НИРС, дополняющей учебный процесс, являются: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студенческое научное общество;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научные кружки, клубы, группы по проблемам и иные творческие объединения;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научно-методологические семинары, факультативы, специальные курсы, научно-исследовательские и научно-организационные программы, занятия с группами студентов, имеющих выраженную мотивацию к научной деятельности;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научные конференции, секции, «круглые столы», дебаты;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конкурсы научных работ, олимпиады, интеллектуальные игры и викторины;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научные публикации;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индивидуальные научно-исследовательские работы студентов;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научные проекты, финансируемые из внутренних (средства университета) и внешних (договорные работы, гранты и т. д.) источников.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  <w:tab w:val="left" w:leader="none" w:pos="70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1-м и 2-м курсах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основным содержанием НИРС в учебный процесс, должно быть: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выявление студентов, имеющих выраженную мотивацию к научной деятельности;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 основными научными направлениями университета и кафедры, их принципами, традициями, достижениями и т. д.;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студентов с возможностями их реализации в научно-исследовательской, научно-организационной, научно-проектной, внедренческой и иной деятельности университета (с деятельностью студенческого научного общества, научных кружков, дискуссионных клубов, возможностью участия в студенческих научных конкурсах и т. д.);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у студентов в ходе общенаучной подготовки перспективных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навыков, умений и приобретение простейших знаний, необходимых для выполнения научной работы;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основам самостоятельной работы;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обучение правилам оформления справочного научного материала и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конспектированию научной литературы;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аналитических способностей и нестандартного мышления (реферативная работа, научные исследования в рамках самостоятельных работ и т. д.);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научных результатов в виде выполненной реферативной, курсовой работы (если предусмотрена учебным планом) в рамках учебного процесса либо в форме научного доклада на конференции, «круглом столе», заседании научного кружка и т. д.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3-м курсе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 учетом усложняющихся задач и форм научно-исследовательской работы, увеличения ее объема НИРС приобретает все более ярко выраженный творческий характер. В ходе выполнения небольших самостоятельных исследований и заданий творческого характера, основным содержанием НИРС должно быть: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формирование специальных исследовательских навыков, углубление знаний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методов, методик, технических средств проведения исследований и обработки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результатов;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в межвузовских конференциях, конкурсах научных работ;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и выбор темы исследования по соответствующим научным направлениям (научным школам);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научных результатов в виде выполненной курсовой работы в рамках учебного процесса либо в форме научного доклада на конференции, «круглом столе», заседании научного кружка и т. д.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4-м курсе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 ходе выполнения самостоятельных исследований и заданий творческого характера основным содержанием НИРС должно быть: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дальнейшее формирование, закрепление и совершенствование полученных знаний, умений и навыков;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творческого мышления и подхода к решению конкретных задач, умения самостоятельно принимать и реализовывать решения;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студентом полученных знаний на практике в процессе самостоятельной научно-исследовательской работы по индивидуальному заданию;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участие студента в научных конференциях, конкурсах всех уровней, научных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исследованиях под руководством профессорско-преподавательского состава и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сотрудников научных подразделений университета;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темы выпускных квалификационных работ (в рамках научного направления, научной школы или научного центра), которая впоследствии может стать основой при выборе темы диссертационного исследования в магистратуру или аспирантуру;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720" w:right="0" w:hanging="294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представление научных результатов в виде выполненной курсовой или квалификационной работы в рамках учебного процесса либо в форме научного доклада на конференции, «круглом столе», заседании научного кружка и т. д.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hanging="29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0" w:right="0" w:firstLine="28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ГЛОССАРИЙ</w:t>
      </w:r>
    </w:p>
    <w:p w:rsidR="00000000" w:rsidDel="00000000" w:rsidP="00000000" w:rsidRDefault="00000000" w:rsidRPr="00000000" w14:paraId="000002D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Указывается список терминов и определений при необходимости.</w:t>
      </w:r>
    </w:p>
    <w:p w:rsidR="00000000" w:rsidDel="00000000" w:rsidP="00000000" w:rsidRDefault="00000000" w:rsidRPr="00000000" w14:paraId="000002D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каждой дисциплине используются специальные термины, содержание которых не очевидно и требует пояснения.  Термины могут привязываться к темам и/или располагаться в алфавитном порядке.</w:t>
      </w:r>
    </w:p>
    <w:p w:rsidR="00000000" w:rsidDel="00000000" w:rsidP="00000000" w:rsidRDefault="00000000" w:rsidRPr="00000000" w14:paraId="000002D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СПРАВОЧНЫЕ МАТЕРИАЛЫ И ПРИЛОЖЕНИЯ</w:t>
      </w:r>
    </w:p>
    <w:p w:rsidR="00000000" w:rsidDel="00000000" w:rsidP="00000000" w:rsidRDefault="00000000" w:rsidRPr="00000000" w14:paraId="000002E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Справочные материалы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указываются по необходимости.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/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фонд оценочных средств</w:t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851" w:top="1701" w:left="1134" w:right="1134" w:header="340" w:footer="51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4">
    <w:pPr>
      <w:tabs>
        <w:tab w:val="center" w:leader="none" w:pos="4677"/>
        <w:tab w:val="right" w:leader="none" w:pos="9355"/>
      </w:tabs>
      <w:spacing w:after="0" w:line="240" w:lineRule="auto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1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"/>
      <w:gridCol w:w="8070"/>
      <w:tblGridChange w:id="0">
        <w:tblGrid>
          <w:gridCol w:w="1140"/>
          <w:gridCol w:w="807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E5">
          <w:pPr>
            <w:widowControl w:val="0"/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Insert image from options in an image folder (smal size)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E6">
          <w:pPr>
            <w:widowControl w:val="0"/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вуза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Bold)&lt;br&gt;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7">
          <w:pPr>
            <w:widowControl w:val="0"/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факультета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Regular)&lt;br&gt;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8">
          <w:pPr>
            <w:widowControl w:val="0"/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кафедры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Regular)&lt;br&gt;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9">
          <w:pPr>
            <w:widowControl w:val="0"/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предмета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Regular)&lt;br&gt;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EA">
    <w:pPr>
      <w:tabs>
        <w:tab w:val="center" w:leader="none" w:pos="4677"/>
        <w:tab w:val="right" w:leader="none" w:pos="9355"/>
      </w:tabs>
      <w:spacing w:after="0"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2"/>
      <w:tblW w:w="921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"/>
      <w:gridCol w:w="8070"/>
      <w:tblGridChange w:id="0">
        <w:tblGrid>
          <w:gridCol w:w="1140"/>
          <w:gridCol w:w="807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E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Insert image from options in an image folder (smal size)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2E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вуза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Bold)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факультета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E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кафедры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F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Название предмета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(TNR 12, Capitalized, Regular)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sz w:val="16"/>
        <w:szCs w:val="16"/>
        <w:rtl w:val="0"/>
      </w:rPr>
      <w:t xml:space="preserve">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  <w:i w:val="1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5"/>
      <w:numFmt w:val="decimal"/>
      <w:lvlText w:val="%1."/>
      <w:lvlJc w:val="left"/>
      <w:pPr>
        <w:ind w:left="432" w:hanging="432"/>
      </w:pPr>
      <w:rPr>
        <w:b w:val="1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1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i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1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1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1"/>
        <w:i w:val="0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bullet"/>
      <w:lvlText w:val="­"/>
      <w:lvlJc w:val="left"/>
      <w:pPr>
        <w:ind w:left="1077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492" w:hanging="492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abstractNum w:abstractNumId="11">
    <w:lvl w:ilvl="0">
      <w:start w:val="1"/>
      <w:numFmt w:val="bullet"/>
      <w:lvlText w:val="­"/>
      <w:lvlJc w:val="left"/>
      <w:pPr>
        <w:ind w:left="11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­"/>
      <w:lvlJc w:val="left"/>
      <w:pPr>
        <w:ind w:left="11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­"/>
      <w:lvlJc w:val="left"/>
      <w:pPr>
        <w:ind w:left="11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­"/>
      <w:lvlJc w:val="left"/>
      <w:pPr>
        <w:ind w:left="11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bullet"/>
      <w:lvlText w:val="­"/>
      <w:lvlJc w:val="left"/>
      <w:pPr>
        <w:ind w:left="1146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­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DA854078585A4429A5CFE3FEA70C3366_12</vt:lpwstr>
  </property>
</Properties>
</file>