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FF5D2">
      <w:pPr>
        <w:jc w:val="center"/>
        <w:rPr>
          <w:b/>
          <w:bCs/>
          <w:sz w:val="34"/>
          <w:szCs w:val="34"/>
        </w:rPr>
      </w:pPr>
      <w:r>
        <w:rPr>
          <w:b/>
          <w:bCs/>
          <w:sz w:val="34"/>
          <w:szCs w:val="34"/>
        </w:rPr>
        <w:t xml:space="preserve">  SIMATS ENGINEERING</w:t>
      </w:r>
    </w:p>
    <w:p w14:paraId="76764BDB">
      <w:pPr>
        <w:jc w:val="center"/>
        <w:rPr>
          <w:b/>
          <w:bCs/>
          <w:sz w:val="28"/>
          <w:szCs w:val="28"/>
        </w:rPr>
      </w:pPr>
      <w:r>
        <w:rPr>
          <w:b/>
          <w:bCs/>
          <w:sz w:val="28"/>
          <w:szCs w:val="28"/>
        </w:rPr>
        <w:t>ASSESSMENT TOOL 3</w:t>
      </w:r>
    </w:p>
    <w:p w14:paraId="33491735">
      <w:pPr>
        <w:jc w:val="center"/>
        <w:rPr>
          <w:b/>
          <w:bCs/>
          <w:sz w:val="34"/>
          <w:szCs w:val="34"/>
        </w:rPr>
      </w:pPr>
    </w:p>
    <w:p w14:paraId="160C0F78">
      <w:pPr>
        <w:jc w:val="center"/>
        <w:rPr>
          <w:b/>
          <w:bCs/>
          <w:sz w:val="34"/>
          <w:szCs w:val="34"/>
        </w:rPr>
      </w:pPr>
    </w:p>
    <w:p w14:paraId="67BA1F72">
      <w:pPr>
        <w:rPr>
          <w:b/>
          <w:bCs/>
        </w:rPr>
      </w:pPr>
      <w:r>
        <w:rPr>
          <w:rFonts w:ascii="Arial" w:hAnsi="Arial" w:eastAsia="Arial" w:cs="Arial"/>
          <w:b/>
          <w:bCs/>
        </w:rPr>
        <w:t>COURSE CODE:</w:t>
      </w:r>
      <w:r>
        <w:rPr>
          <w:rFonts w:ascii="Arial" w:hAnsi="Arial" w:eastAsia="Arial" w:cs="Arial"/>
          <w:b/>
          <w:bCs/>
        </w:rPr>
        <w:tab/>
      </w:r>
      <w:r>
        <w:rPr>
          <w:b/>
          <w:bCs/>
        </w:rPr>
        <w:t>MLA03</w:t>
      </w:r>
    </w:p>
    <w:p w14:paraId="6A5542BC">
      <w:pPr>
        <w:rPr>
          <w:rFonts w:ascii="Arial" w:hAnsi="Arial" w:eastAsia="Arial" w:cs="Arial"/>
          <w:b/>
          <w:bCs/>
        </w:rPr>
      </w:pPr>
      <w:r>
        <w:rPr>
          <w:rFonts w:ascii="Arial" w:hAnsi="Arial" w:eastAsia="Arial" w:cs="Arial"/>
          <w:b/>
          <w:bCs/>
        </w:rPr>
        <w:t>COURSE NAME:</w:t>
      </w:r>
      <w:r>
        <w:rPr>
          <w:rFonts w:ascii="Arial" w:hAnsi="Arial" w:eastAsia="Arial" w:cs="Arial"/>
        </w:rPr>
        <w:t xml:space="preserve"> </w:t>
      </w:r>
      <w:r>
        <w:rPr>
          <w:rFonts w:ascii="Arial" w:hAnsi="Arial" w:eastAsia="Arial" w:cs="Arial"/>
          <w:b/>
          <w:bCs/>
        </w:rPr>
        <w:t>Reinforcement learning for Environment and Agent</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63EE1CD5">
      <w:pPr>
        <w:rPr>
          <w:rFonts w:ascii="Arial" w:hAnsi="Arial" w:eastAsia="Arial" w:cs="Arial"/>
          <w:b/>
          <w:bCs/>
        </w:rPr>
      </w:pPr>
    </w:p>
    <w:p w14:paraId="40D4FEDB">
      <w:pPr>
        <w:rPr>
          <w:rFonts w:ascii="Arial" w:hAnsi="Arial" w:eastAsia="Arial" w:cs="Arial"/>
          <w:b/>
          <w:bCs/>
        </w:rPr>
      </w:pPr>
    </w:p>
    <w:p w14:paraId="4641EB7A">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E414444"/>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3E414444"/>
                  </w:txbxContent>
                </v:textbox>
                <w10:wrap type="none"/>
                <w10:anchorlock/>
              </v:rect>
            </w:pict>
          </mc:Fallback>
        </mc:AlternateContent>
      </w:r>
    </w:p>
    <w:p w14:paraId="69F391F1">
      <w:pPr>
        <w:rPr>
          <w:rFonts w:ascii="Arial" w:hAnsi="Arial" w:eastAsia="Arial" w:cs="Arial"/>
          <w:b/>
          <w:bCs/>
        </w:rPr>
      </w:pPr>
    </w:p>
    <w:p w14:paraId="4032B699">
      <w:pPr>
        <w:rPr>
          <w:rFonts w:ascii="Arial" w:hAnsi="Arial" w:eastAsia="Arial" w:cs="Arial"/>
          <w:b/>
          <w:bCs/>
        </w:rPr>
      </w:pPr>
      <w:r>
        <w:rPr>
          <w:rFonts w:ascii="Arial" w:hAnsi="Arial" w:eastAsia="Arial" w:cs="Arial"/>
          <w:b/>
          <w:bCs/>
        </w:rPr>
        <w:t>COURSE OUTCOME COVERED</w:t>
      </w:r>
    </w:p>
    <w:p w14:paraId="7493E292">
      <w:pPr>
        <w:rPr>
          <w:rFonts w:ascii="Arial" w:hAnsi="Arial" w:eastAsia="Arial" w:cs="Arial"/>
          <w:b/>
          <w:bCs/>
        </w:rPr>
      </w:pPr>
    </w:p>
    <w:p w14:paraId="6867F6D2">
      <w:pPr>
        <w:jc w:val="both"/>
        <w:rPr>
          <w:rFonts w:ascii="Arial" w:hAnsi="Arial" w:eastAsia="Arial" w:cs="Arial"/>
          <w:i/>
          <w:iCs/>
          <w:color w:val="000000"/>
          <w:sz w:val="20"/>
          <w:szCs w:val="20"/>
        </w:rPr>
      </w:pPr>
      <w:r>
        <w:rPr>
          <w:rFonts w:ascii="Arial" w:hAnsi="Arial" w:eastAsia="Arial" w:cs="Arial"/>
          <w:b/>
          <w:bCs/>
          <w:i/>
          <w:iCs/>
        </w:rPr>
        <w:t xml:space="preserve">CO3: </w:t>
      </w:r>
      <w:r>
        <w:rPr>
          <w:rFonts w:ascii="Arial" w:hAnsi="Arial" w:eastAsia="Arial" w:cs="Arial"/>
          <w:i/>
          <w:iCs/>
          <w:color w:val="000000"/>
        </w:rPr>
        <w:t>Apply Dynamic Programming methods to solve reinforcement learning problems and derive optimal policies for decision-making tasks. (BL2, BL3, BL6).</w:t>
      </w:r>
    </w:p>
    <w:p w14:paraId="7774B2D3">
      <w:pPr>
        <w:rPr>
          <w:rFonts w:ascii="Arial" w:hAnsi="Arial" w:eastAsia="Arial" w:cs="Arial"/>
          <w:i/>
          <w:iCs/>
        </w:rPr>
      </w:pPr>
    </w:p>
    <w:p w14:paraId="52FD2F01">
      <w:pPr>
        <w:rPr>
          <w:rFonts w:ascii="Arial" w:hAnsi="Arial" w:eastAsia="Arial" w:cs="Arial"/>
          <w:i/>
          <w:iCs/>
        </w:rPr>
      </w:pPr>
      <w:r>
        <w:rPr>
          <w:rFonts w:ascii="Arial" w:hAnsi="Arial" w:eastAsia="Arial" w:cs="Arial"/>
          <w:i/>
          <w:iCs/>
        </w:rPr>
        <w:t>Assessment Tool Weightage: 25%</w:t>
      </w:r>
    </w:p>
    <w:p w14:paraId="560117FF">
      <w:pPr>
        <w:rPr>
          <w:rFonts w:ascii="Arial" w:hAnsi="Arial" w:eastAsia="Arial" w:cs="Arial"/>
          <w:i/>
          <w:iCs/>
        </w:rPr>
      </w:pPr>
    </w:p>
    <w:p w14:paraId="03027B4A">
      <w:pPr>
        <w:rPr>
          <w:rFonts w:ascii="Arial" w:hAnsi="Arial" w:eastAsia="Arial" w:cs="Arial"/>
        </w:rPr>
      </w:pPr>
      <w:r>
        <w:rPr>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B1284CC"/>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B1284CC"/>
                  </w:txbxContent>
                </v:textbox>
                <w10:wrap type="none"/>
                <w10:anchorlock/>
              </v:rect>
            </w:pict>
          </mc:Fallback>
        </mc:AlternateContent>
      </w:r>
      <w:r>
        <w:rPr>
          <w:rFonts w:ascii="Arial" w:hAnsi="Arial" w:eastAsia="Arial" w:cs="Arial"/>
        </w:rPr>
        <w:t>Dr G. A. SENTHIL</w:t>
      </w:r>
    </w:p>
    <w:p w14:paraId="11407DB5">
      <w:pPr>
        <w:rPr>
          <w:rFonts w:ascii="Arial" w:hAnsi="Arial" w:eastAsia="Arial" w:cs="Arial"/>
        </w:rPr>
      </w:pPr>
    </w:p>
    <w:p w14:paraId="72234898">
      <w:pPr>
        <w:rPr>
          <w:rFonts w:ascii="Arial" w:hAnsi="Arial" w:eastAsia="Arial" w:cs="Arial"/>
          <w:b/>
          <w:bCs/>
        </w:rPr>
      </w:pPr>
      <w:r>
        <w:rPr>
          <w:rFonts w:ascii="Arial" w:hAnsi="Arial" w:eastAsia="Arial" w:cs="Arial"/>
          <w:b/>
          <w:bCs/>
        </w:rPr>
        <w:t>QUESTIONS: 10</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Total Marks: 50</w:t>
      </w:r>
    </w:p>
    <w:p w14:paraId="4EA4D6C5">
      <w:pPr>
        <w:rPr>
          <w:rFonts w:ascii="Arial" w:hAnsi="Arial" w:eastAsia="Arial" w:cs="Arial"/>
        </w:rPr>
      </w:pPr>
    </w:p>
    <w:p w14:paraId="24D01E9B">
      <w:pPr>
        <w:ind w:left="2880" w:firstLine="720"/>
        <w:rPr>
          <w:rFonts w:ascii="Arial" w:hAnsi="Arial" w:eastAsia="Arial" w:cs="Arial"/>
        </w:rPr>
      </w:pPr>
      <w:r>
        <w:rPr>
          <w:rFonts w:ascii="Arial" w:hAnsi="Arial" w:eastAsia="Arial" w:cs="Arial"/>
        </w:rPr>
        <w:t xml:space="preserve">   </w:t>
      </w:r>
    </w:p>
    <w:p w14:paraId="5F32EE62">
      <w:pPr>
        <w:ind w:left="2880" w:firstLine="720"/>
        <w:rPr>
          <w:rFonts w:ascii="Arial" w:hAnsi="Arial" w:eastAsia="Arial" w:cs="Arial"/>
        </w:rPr>
      </w:pPr>
    </w:p>
    <w:p w14:paraId="3FF009C8">
      <w:pPr>
        <w:ind w:left="2880" w:firstLine="720"/>
        <w:rPr>
          <w:rFonts w:ascii="Arial" w:hAnsi="Arial" w:eastAsia="Arial" w:cs="Arial"/>
        </w:rPr>
      </w:pPr>
      <w:r>
        <w:rPr>
          <w:rFonts w:ascii="Arial" w:hAnsi="Arial" w:eastAsia="Arial" w:cs="Arial"/>
        </w:rPr>
        <w:t>Annexure A</w:t>
      </w:r>
    </w:p>
    <w:p w14:paraId="76B411DF">
      <w:pPr>
        <w:rPr>
          <w:rFonts w:ascii="Arial" w:hAnsi="Arial" w:eastAsia="Arial" w:cs="Arial"/>
          <w:b/>
          <w:bCs/>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751E9E81">
      <w:pPr>
        <w:rPr>
          <w:rFonts w:ascii="Arial" w:hAnsi="Arial" w:eastAsia="Arial" w:cs="Arial"/>
          <w:b/>
          <w:bCs/>
        </w:rPr>
      </w:pPr>
      <w:r>
        <w:rPr>
          <w:rFonts w:ascii="Arial" w:hAnsi="Arial" w:eastAsia="Arial" w:cs="Arial"/>
          <w:b/>
          <w:bCs/>
        </w:rPr>
        <w:t xml:space="preserve">                                                 Data Interpretation                                Duration: 1hr</w:t>
      </w:r>
    </w:p>
    <w:p w14:paraId="32B3BCDD">
      <w:pPr>
        <w:rPr>
          <w:b/>
          <w:bCs/>
        </w:rPr>
      </w:pPr>
    </w:p>
    <w:p w14:paraId="346149D2">
      <w:pPr>
        <w:rPr>
          <w:b/>
          <w:bCs/>
          <w:i/>
          <w:iCs/>
        </w:rPr>
      </w:pPr>
    </w:p>
    <w:p w14:paraId="1359C779"/>
    <w:p w14:paraId="3D7C1F93">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color w:val="000000"/>
        </w:rPr>
      </w:pPr>
      <w:r>
        <w:rPr>
          <w:rFonts w:ascii="Arial" w:hAnsi="Arial" w:eastAsia="Arial" w:cs="Arial"/>
          <w:color w:val="000000"/>
        </w:rPr>
        <w:t>1.</w:t>
      </w:r>
      <w:r>
        <w:rPr>
          <w:rFonts w:ascii="Helvetica Neue" w:hAnsi="Helvetica Neue" w:eastAsia="Helvetica Neue" w:cs="Helvetica Neue"/>
          <w:color w:val="000000"/>
          <w:sz w:val="15"/>
          <w:szCs w:val="15"/>
        </w:rPr>
        <w:t xml:space="preserve"> </w:t>
      </w:r>
      <w:r>
        <w:rPr>
          <w:rFonts w:ascii="Arial" w:hAnsi="Arial" w:eastAsia="Arial" w:cs="Arial"/>
          <w:color w:val="000000"/>
        </w:rPr>
        <w:t>A Reinforcement Learning agent is trained for multiple episodes</w:t>
      </w:r>
      <w:r>
        <w:rPr>
          <w:rFonts w:ascii="Arial" w:hAnsi="Arial" w:eastAsia="Arial" w:cs="Arial"/>
        </w:rPr>
        <w:t xml:space="preserve"> </w:t>
      </w:r>
      <w:r>
        <w:rPr>
          <w:rFonts w:ascii="Arial" w:hAnsi="Arial" w:eastAsia="Arial" w:cs="Arial"/>
          <w:color w:val="000000"/>
        </w:rPr>
        <w:t xml:space="preserve">and the reward values increase gradually from 10 to 45. Interpret the trend in rewards and </w:t>
      </w:r>
      <w:r>
        <w:rPr>
          <w:rFonts w:ascii="Arial" w:hAnsi="Arial" w:eastAsia="Arial" w:cs="Arial"/>
        </w:rPr>
        <w:t>defend</w:t>
      </w:r>
      <w:r>
        <w:rPr>
          <w:rFonts w:ascii="Arial" w:hAnsi="Arial" w:eastAsia="Arial" w:cs="Arial"/>
          <w:color w:val="000000"/>
        </w:rPr>
        <w:t xml:space="preserve"> what indicates about the learning performance and policy improvement of the agent. </w:t>
      </w:r>
    </w:p>
    <w:p w14:paraId="764619B0">
      <w:pPr>
        <w:pBdr>
          <w:top w:val="none" w:color="auto" w:sz="0" w:space="0"/>
          <w:left w:val="none" w:color="auto" w:sz="0" w:space="0"/>
          <w:bottom w:val="none" w:color="auto" w:sz="0" w:space="0"/>
          <w:right w:val="none" w:color="auto" w:sz="0" w:space="0"/>
          <w:between w:val="none" w:color="auto" w:sz="0" w:space="0"/>
        </w:pBdr>
        <w:spacing w:line="276" w:lineRule="auto"/>
        <w:ind w:left="7200" w:firstLine="720"/>
        <w:jc w:val="both"/>
        <w:rPr>
          <w:rFonts w:ascii="Arial" w:hAnsi="Arial" w:eastAsia="Arial" w:cs="Arial"/>
          <w:b/>
          <w:bCs/>
          <w:color w:val="000000"/>
        </w:rPr>
      </w:pPr>
      <w:r>
        <w:rPr>
          <w:rFonts w:ascii="Arial" w:hAnsi="Arial" w:eastAsia="Arial" w:cs="Arial"/>
          <w:b/>
          <w:bCs/>
        </w:rPr>
        <w:t>(5 Marks)</w:t>
      </w:r>
    </w:p>
    <w:p w14:paraId="7A545FA2">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color w:val="000000"/>
        </w:rPr>
      </w:pPr>
    </w:p>
    <w:p w14:paraId="11E5BCDF">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color w:val="000000"/>
        </w:rPr>
      </w:pPr>
      <w:r>
        <w:rPr>
          <w:rFonts w:ascii="Arial" w:hAnsi="Arial" w:eastAsia="Arial" w:cs="Arial"/>
          <w:color w:val="000000"/>
        </w:rPr>
        <w:t>2.</w:t>
      </w:r>
      <w:r>
        <w:rPr>
          <w:rFonts w:ascii="Helvetica Neue" w:hAnsi="Helvetica Neue" w:eastAsia="Helvetica Neue" w:cs="Helvetica Neue"/>
          <w:color w:val="000000"/>
          <w:sz w:val="15"/>
          <w:szCs w:val="15"/>
        </w:rPr>
        <w:t xml:space="preserve"> </w:t>
      </w:r>
      <w:r>
        <w:rPr>
          <w:rFonts w:ascii="Arial" w:hAnsi="Arial" w:eastAsia="Arial" w:cs="Arial"/>
          <w:color w:val="000000"/>
        </w:rPr>
        <w:t xml:space="preserve">An epsilon-greedy agent is tested with different epsilon values such as 0.1, 0.3 and 0.5. The cumulative reward obtained is highest when epsilon is 0.1 and lowest when epsilon is 0.5.  Justify and </w:t>
      </w:r>
      <w:r>
        <w:rPr>
          <w:rFonts w:ascii="Arial" w:hAnsi="Arial" w:eastAsia="Arial" w:cs="Arial"/>
        </w:rPr>
        <w:t>a</w:t>
      </w:r>
      <w:r>
        <w:rPr>
          <w:rFonts w:ascii="Arial" w:hAnsi="Arial" w:eastAsia="Arial" w:cs="Arial"/>
          <w:color w:val="000000"/>
        </w:rPr>
        <w:t xml:space="preserve">pply the concept of exploration vs exploitation to interpret why the reward changes with epsilon and identify which epsilon value provides better performance.                                                                                                  </w:t>
      </w:r>
      <w:r>
        <w:rPr>
          <w:rFonts w:ascii="Arial" w:hAnsi="Arial" w:eastAsia="Arial" w:cs="Arial"/>
          <w:b/>
          <w:bCs/>
        </w:rPr>
        <w:t>(5 Marks)</w:t>
      </w:r>
    </w:p>
    <w:p w14:paraId="358B6398">
      <w:pPr>
        <w:pBdr>
          <w:top w:val="none" w:color="auto" w:sz="0" w:space="0"/>
          <w:left w:val="none" w:color="auto" w:sz="0" w:space="0"/>
          <w:bottom w:val="none" w:color="auto" w:sz="0" w:space="0"/>
          <w:right w:val="none" w:color="auto" w:sz="0" w:space="0"/>
          <w:between w:val="none" w:color="auto" w:sz="0" w:space="0"/>
        </w:pBdr>
        <w:spacing w:line="276" w:lineRule="auto"/>
        <w:ind w:left="7200" w:firstLine="720"/>
        <w:jc w:val="both"/>
        <w:rPr>
          <w:rFonts w:ascii="Arial" w:hAnsi="Arial" w:eastAsia="Arial" w:cs="Arial"/>
          <w:color w:val="000000"/>
        </w:rPr>
      </w:pPr>
    </w:p>
    <w:p w14:paraId="3F789AFB">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b/>
          <w:bCs/>
          <w:color w:val="000000"/>
        </w:rPr>
      </w:pPr>
      <w:r>
        <w:rPr>
          <w:rFonts w:ascii="Arial" w:hAnsi="Arial" w:eastAsia="Arial" w:cs="Arial"/>
          <w:color w:val="000000"/>
        </w:rPr>
        <w:t>3.</w:t>
      </w:r>
      <w:r>
        <w:rPr>
          <w:rFonts w:ascii="Helvetica Neue" w:hAnsi="Helvetica Neue" w:eastAsia="Helvetica Neue" w:cs="Helvetica Neue"/>
          <w:color w:val="000000"/>
          <w:sz w:val="15"/>
          <w:szCs w:val="15"/>
        </w:rPr>
        <w:t xml:space="preserve"> </w:t>
      </w:r>
      <w:r>
        <w:rPr>
          <w:rFonts w:ascii="Arial" w:hAnsi="Arial" w:eastAsia="Arial" w:cs="Arial"/>
          <w:color w:val="000000"/>
        </w:rPr>
        <w:t xml:space="preserve">Two Reinforcement Learning algorithms, Q-Learning and SARSA, are compared based on average rewards obtained over 100, 200 and 300 episodes. Q-Learning consistently shows slightly higher reward values than SARSA. </w:t>
      </w:r>
      <w:r>
        <w:rPr>
          <w:rFonts w:ascii="Arial" w:hAnsi="Arial" w:eastAsia="Arial" w:cs="Arial"/>
        </w:rPr>
        <w:t xml:space="preserve">Identify </w:t>
      </w:r>
      <w:r>
        <w:rPr>
          <w:rFonts w:ascii="Arial" w:hAnsi="Arial" w:eastAsia="Arial" w:cs="Arial"/>
          <w:color w:val="000000"/>
        </w:rPr>
        <w:t xml:space="preserve">the performance difference between these algorithms and determine which algorithm converges faster based on the observed results.                                                                     </w:t>
      </w:r>
      <w:r>
        <w:rPr>
          <w:rFonts w:ascii="Arial" w:hAnsi="Arial" w:eastAsia="Arial" w:cs="Arial"/>
          <w:b/>
          <w:bCs/>
        </w:rPr>
        <w:t>(5 Marks)</w:t>
      </w:r>
    </w:p>
    <w:p w14:paraId="10DE6415">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color w:val="000000"/>
        </w:rPr>
      </w:pPr>
    </w:p>
    <w:p w14:paraId="3EB22563">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b/>
          <w:bCs/>
          <w:color w:val="000000"/>
        </w:rPr>
      </w:pPr>
      <w:r>
        <w:rPr>
          <w:rFonts w:ascii="Arial" w:hAnsi="Arial" w:eastAsia="Arial" w:cs="Arial"/>
          <w:color w:val="000000"/>
        </w:rPr>
        <w:t xml:space="preserve">4. An RL agent is trained using different discount factor values such as 0.2, 0.5 and 0.9. The average reward increases as the discount factor increases. </w:t>
      </w:r>
      <w:r>
        <w:rPr>
          <w:rFonts w:ascii="Arial" w:hAnsi="Arial" w:eastAsia="Arial" w:cs="Arial"/>
        </w:rPr>
        <w:t>Discuss</w:t>
      </w:r>
      <w:r>
        <w:rPr>
          <w:rFonts w:ascii="Arial" w:hAnsi="Arial" w:eastAsia="Arial" w:cs="Arial"/>
          <w:color w:val="000000"/>
        </w:rPr>
        <w:t xml:space="preserve"> how the discount factor affects long-term reward optimization and justify which discount factor is most suitable for achieving better learning performance.                           </w:t>
      </w:r>
      <w:r>
        <w:rPr>
          <w:rFonts w:ascii="Arial" w:hAnsi="Arial" w:eastAsia="Arial" w:cs="Arial"/>
          <w:b/>
          <w:bCs/>
        </w:rPr>
        <w:t>(5 Marks)</w:t>
      </w:r>
    </w:p>
    <w:p w14:paraId="535123CD">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color w:val="000000"/>
        </w:rPr>
      </w:pPr>
      <w:r>
        <w:rPr>
          <w:rFonts w:ascii="Arial" w:hAnsi="Arial" w:eastAsia="Arial" w:cs="Arial"/>
          <w:b/>
          <w:bCs/>
          <w:color w:val="000000"/>
        </w:rPr>
        <w:t xml:space="preserve">                                                                                                                    </w:t>
      </w:r>
    </w:p>
    <w:p w14:paraId="6AD74B55">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color w:val="000000"/>
        </w:rPr>
      </w:pPr>
    </w:p>
    <w:p w14:paraId="6071F03E">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color w:val="000000"/>
        </w:rPr>
      </w:pPr>
      <w:r>
        <w:rPr>
          <w:rFonts w:ascii="Arial" w:hAnsi="Arial" w:eastAsia="Arial" w:cs="Arial"/>
          <w:color w:val="000000"/>
        </w:rPr>
        <w:t xml:space="preserve">5. The success rate of an RL agent increases from 45 percent at 50 episodes to 92 percent at 200 episodes. </w:t>
      </w:r>
      <w:r>
        <w:rPr>
          <w:rFonts w:ascii="Arial" w:hAnsi="Arial" w:eastAsia="Arial" w:cs="Arial"/>
        </w:rPr>
        <w:t>Discuss</w:t>
      </w:r>
      <w:r>
        <w:rPr>
          <w:rFonts w:ascii="Arial" w:hAnsi="Arial" w:eastAsia="Arial" w:cs="Arial"/>
          <w:color w:val="000000"/>
        </w:rPr>
        <w:t xml:space="preserve"> the improvement in success rate and interpret whether the agent has learned an optimal policy. Provide reasoning based on the trend of the data.                                                                                                     </w:t>
      </w:r>
      <w:r>
        <w:rPr>
          <w:rFonts w:ascii="Arial" w:hAnsi="Arial" w:eastAsia="Arial" w:cs="Arial"/>
          <w:b/>
          <w:bCs/>
        </w:rPr>
        <w:t>(5 Marks)</w:t>
      </w:r>
      <w:r>
        <w:rPr>
          <w:rFonts w:ascii="Arial" w:hAnsi="Arial" w:eastAsia="Arial" w:cs="Arial"/>
          <w:color w:val="000000"/>
        </w:rPr>
        <w:t xml:space="preserve">   </w:t>
      </w:r>
    </w:p>
    <w:p w14:paraId="0E1A57D0">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rPr>
      </w:pPr>
      <w:r>
        <w:rPr>
          <w:rFonts w:ascii="Arial" w:hAnsi="Arial" w:eastAsia="Arial" w:cs="Arial"/>
        </w:rPr>
        <w:t xml:space="preserve"> </w:t>
      </w:r>
    </w:p>
    <w:p w14:paraId="23A77F83">
      <w:pPr>
        <w:spacing w:line="276" w:lineRule="auto"/>
        <w:jc w:val="both"/>
        <w:rPr>
          <w:rFonts w:ascii="Arial" w:hAnsi="Arial" w:eastAsia="Arial" w:cs="Arial"/>
        </w:rPr>
      </w:pPr>
      <w:r>
        <w:rPr>
          <w:rFonts w:ascii="Arial" w:hAnsi="Arial" w:eastAsia="Arial" w:cs="Arial"/>
        </w:rPr>
        <w:t xml:space="preserve">6. An RL agent is trained in the CartPole environment with different learning rates (0.01, 0.05, 0.1). The agent achieves higher stability at 0.05 compared to the other values. Analyze how learning rate influences convergence and justify which value provides the best trade-off between speed and stability.                                </w:t>
      </w:r>
      <w:r>
        <w:rPr>
          <w:rFonts w:ascii="Arial" w:hAnsi="Arial" w:eastAsia="Arial" w:cs="Arial"/>
          <w:b/>
          <w:bCs/>
        </w:rPr>
        <w:t>(5 Marks)</w:t>
      </w:r>
    </w:p>
    <w:p w14:paraId="6BD379DD">
      <w:pPr>
        <w:spacing w:line="276" w:lineRule="auto"/>
        <w:jc w:val="both"/>
        <w:rPr>
          <w:rFonts w:ascii="Arial" w:hAnsi="Arial" w:eastAsia="Arial" w:cs="Arial"/>
        </w:rPr>
      </w:pPr>
    </w:p>
    <w:p w14:paraId="4194F16E">
      <w:pPr>
        <w:spacing w:line="276" w:lineRule="auto"/>
        <w:jc w:val="both"/>
        <w:rPr>
          <w:rFonts w:ascii="Arial" w:hAnsi="Arial" w:eastAsia="Arial" w:cs="Arial"/>
        </w:rPr>
      </w:pPr>
      <w:r>
        <w:rPr>
          <w:rFonts w:ascii="Arial" w:hAnsi="Arial" w:eastAsia="Arial" w:cs="Arial"/>
        </w:rPr>
        <w:t xml:space="preserve">7. A Q-learning agent is tested with different exploration strategies: ε-greedy, softmax, and random exploration. The cumulative reward is highest with ε-greedy. Compare the strategies and defend why ε-greedy achieves better performance in this scenario.                                                                                                         </w:t>
      </w:r>
    </w:p>
    <w:p w14:paraId="2AF6F2BF">
      <w:pPr>
        <w:spacing w:line="276" w:lineRule="auto"/>
        <w:jc w:val="both"/>
        <w:rPr>
          <w:rFonts w:ascii="Arial" w:hAnsi="Arial" w:eastAsia="Arial" w:cs="Arial"/>
        </w:rPr>
      </w:pPr>
      <w:r>
        <w:rPr>
          <w:rFonts w:ascii="Arial" w:hAnsi="Arial" w:eastAsia="Arial" w:cs="Arial"/>
        </w:rPr>
        <w:t xml:space="preserve"> </w:t>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b/>
          <w:bCs/>
        </w:rPr>
        <w:t>(5 Marks)</w:t>
      </w:r>
    </w:p>
    <w:p w14:paraId="5ECB4CBF">
      <w:pPr>
        <w:spacing w:line="276" w:lineRule="auto"/>
        <w:jc w:val="both"/>
        <w:rPr>
          <w:rFonts w:ascii="Arial" w:hAnsi="Arial" w:eastAsia="Arial" w:cs="Arial"/>
        </w:rPr>
      </w:pPr>
    </w:p>
    <w:p w14:paraId="384C208A">
      <w:pPr>
        <w:spacing w:line="276" w:lineRule="auto"/>
        <w:jc w:val="both"/>
        <w:rPr>
          <w:rFonts w:ascii="Arial" w:hAnsi="Arial" w:eastAsia="Arial" w:cs="Arial"/>
        </w:rPr>
      </w:pPr>
      <w:r>
        <w:rPr>
          <w:rFonts w:ascii="Arial" w:hAnsi="Arial" w:eastAsia="Arial" w:cs="Arial"/>
        </w:rPr>
        <w:t xml:space="preserve">8. An RL agent trained in a maze environment initially takes 50 steps to reach the goal, but after 300 episodes it reduces to 15 steps. Interpret the reduction in steps and evaluate whether this indicates convergence to an optimal policy.              </w:t>
      </w:r>
      <w:r>
        <w:rPr>
          <w:rFonts w:ascii="Arial" w:hAnsi="Arial" w:eastAsia="Arial" w:cs="Arial"/>
          <w:b/>
          <w:bCs/>
        </w:rPr>
        <w:t>(5 Marks)</w:t>
      </w:r>
    </w:p>
    <w:p w14:paraId="5B893036">
      <w:pPr>
        <w:spacing w:line="276" w:lineRule="auto"/>
        <w:jc w:val="both"/>
        <w:rPr>
          <w:rFonts w:ascii="Arial" w:hAnsi="Arial" w:eastAsia="Arial" w:cs="Arial"/>
        </w:rPr>
      </w:pPr>
    </w:p>
    <w:p w14:paraId="390B7EE7">
      <w:pPr>
        <w:spacing w:line="276" w:lineRule="auto"/>
        <w:jc w:val="both"/>
        <w:rPr>
          <w:rFonts w:ascii="Arial" w:hAnsi="Arial" w:eastAsia="Arial" w:cs="Arial"/>
        </w:rPr>
      </w:pPr>
      <w:r>
        <w:rPr>
          <w:rFonts w:ascii="Arial" w:hAnsi="Arial" w:eastAsia="Arial" w:cs="Arial"/>
        </w:rPr>
        <w:t>9. A SARSA agent is trained with discount factors of 0.4, 0.7, and 0.95. The agent achieves the highest long-term reward with 0.95. Discuss the role of discount factor in balancing immediate vs. future rewards and justify why 0.95 is most effective.</w:t>
      </w:r>
    </w:p>
    <w:p w14:paraId="0910445B">
      <w:pPr>
        <w:spacing w:line="276" w:lineRule="auto"/>
        <w:ind w:left="7200" w:firstLine="720"/>
        <w:jc w:val="both"/>
        <w:rPr>
          <w:rFonts w:ascii="Arial" w:hAnsi="Arial" w:eastAsia="Arial" w:cs="Arial"/>
        </w:rPr>
      </w:pPr>
      <w:r>
        <w:rPr>
          <w:rFonts w:ascii="Arial" w:hAnsi="Arial" w:eastAsia="Arial" w:cs="Arial"/>
          <w:b/>
          <w:bCs/>
        </w:rPr>
        <w:t>(5 Marks)</w:t>
      </w:r>
    </w:p>
    <w:p w14:paraId="501B01C4">
      <w:pPr>
        <w:spacing w:line="276" w:lineRule="auto"/>
        <w:jc w:val="both"/>
        <w:rPr>
          <w:rFonts w:ascii="Arial" w:hAnsi="Arial" w:eastAsia="Arial" w:cs="Arial"/>
        </w:rPr>
      </w:pPr>
    </w:p>
    <w:p w14:paraId="371FAA93">
      <w:pPr>
        <w:spacing w:line="276" w:lineRule="auto"/>
        <w:jc w:val="both"/>
        <w:rPr>
          <w:rFonts w:ascii="Arial" w:hAnsi="Arial" w:eastAsia="Arial" w:cs="Arial"/>
        </w:rPr>
      </w:pPr>
      <w:r>
        <w:rPr>
          <w:rFonts w:ascii="Arial" w:hAnsi="Arial" w:eastAsia="Arial" w:cs="Arial"/>
        </w:rPr>
        <w:t>10. An RL agent trained in a stochastic environment shows fluctuating rewards in early episodes but stabilizes after 500 episodes. Examine the reward trend and defend how stability indicates policy improvement and robustness of learning.</w:t>
      </w:r>
    </w:p>
    <w:p w14:paraId="54DF923B">
      <w:pPr>
        <w:spacing w:line="276" w:lineRule="auto"/>
        <w:ind w:left="7200" w:firstLine="720"/>
        <w:jc w:val="both"/>
        <w:rPr>
          <w:rFonts w:ascii="Arial" w:hAnsi="Arial" w:eastAsia="Arial" w:cs="Arial"/>
        </w:rPr>
      </w:pPr>
      <w:r>
        <w:rPr>
          <w:rFonts w:ascii="Arial" w:hAnsi="Arial" w:eastAsia="Arial" w:cs="Arial"/>
          <w:b/>
          <w:bCs/>
        </w:rPr>
        <w:t>(5 Marks)</w:t>
      </w:r>
    </w:p>
    <w:p w14:paraId="1FF9D08E">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rPr>
      </w:pPr>
      <w:r>
        <w:rPr>
          <w:rFonts w:ascii="Arial" w:hAnsi="Arial" w:eastAsia="Arial" w:cs="Arial"/>
          <w:color w:val="000000"/>
        </w:rPr>
        <w:t xml:space="preserve">    </w:t>
      </w:r>
      <w:r>
        <w:rPr>
          <w:rFonts w:ascii="Arial" w:hAnsi="Arial" w:eastAsia="Arial" w:cs="Arial"/>
          <w:color w:val="000000"/>
        </w:rPr>
        <w:tab/>
      </w:r>
      <w:r>
        <w:rPr>
          <w:rFonts w:ascii="Arial" w:hAnsi="Arial" w:eastAsia="Arial" w:cs="Arial"/>
          <w:color w:val="000000"/>
        </w:rPr>
        <w:tab/>
      </w:r>
      <w:r>
        <w:rPr>
          <w:rFonts w:ascii="Arial" w:hAnsi="Arial" w:eastAsia="Arial" w:cs="Arial"/>
          <w:color w:val="000000"/>
        </w:rPr>
        <w:t xml:space="preserve">                     </w:t>
      </w:r>
      <w:r>
        <w:rPr>
          <w:rFonts w:ascii="Arial" w:hAnsi="Arial" w:eastAsia="Arial" w:cs="Arial"/>
          <w:color w:val="000000"/>
        </w:rPr>
        <w:tab/>
      </w:r>
      <w:r>
        <w:rPr>
          <w:rFonts w:ascii="Arial" w:hAnsi="Arial" w:eastAsia="Arial" w:cs="Arial"/>
          <w:color w:val="000000"/>
        </w:rPr>
        <w:tab/>
      </w:r>
      <w:r>
        <w:rPr>
          <w:rFonts w:ascii="Arial" w:hAnsi="Arial" w:eastAsia="Arial" w:cs="Arial"/>
          <w:color w:val="000000"/>
        </w:rPr>
        <w:tab/>
      </w:r>
    </w:p>
    <w:p w14:paraId="4DC2995F">
      <w:pPr>
        <w:rPr>
          <w:b/>
          <w:bCs/>
        </w:rPr>
      </w:pPr>
      <w:r>
        <w:rPr>
          <w:sz w:val="22"/>
          <w:szCs w:val="22"/>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41067DF"/>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641067DF"/>
                  </w:txbxContent>
                </v:textbox>
                <w10:wrap type="none"/>
                <w10:anchorlock/>
              </v:rect>
            </w:pict>
          </mc:Fallback>
        </mc:AlternateContent>
      </w:r>
    </w:p>
    <w:p w14:paraId="3D82BDC9">
      <w:pPr>
        <w:rPr>
          <w:b/>
          <w:bCs/>
        </w:rPr>
      </w:pPr>
    </w:p>
    <w:p w14:paraId="5BB78D8D">
      <w:pPr>
        <w:rPr>
          <w:b/>
          <w:bCs/>
          <w:i/>
          <w:iCs/>
        </w:rPr>
      </w:pPr>
      <w:r>
        <w:rPr>
          <w:b/>
          <w:bCs/>
          <w:i/>
          <w:iCs/>
        </w:rPr>
        <w:t>Code of Conduct:</w:t>
      </w:r>
    </w:p>
    <w:p w14:paraId="2BBE49A5">
      <w:pPr>
        <w:rPr>
          <w:i/>
          <w:iCs/>
        </w:rPr>
      </w:pPr>
    </w:p>
    <w:p w14:paraId="3E1BF63D">
      <w:pPr>
        <w:jc w:val="both"/>
        <w:rPr>
          <w:i/>
          <w:iCs/>
        </w:rPr>
      </w:pPr>
      <w:r>
        <w:rPr>
          <w:i/>
          <w:iCs/>
        </w:rPr>
        <w:t>I ____</w:t>
      </w:r>
      <w:r>
        <w:rPr>
          <w:rFonts w:hint="default"/>
          <w:i/>
          <w:iCs/>
          <w:lang w:val="en-US"/>
        </w:rPr>
        <w:t>A Karthikeyan 192325143</w:t>
      </w:r>
      <w:r>
        <w:rPr>
          <w:i/>
          <w:iCs/>
        </w:rPr>
        <w:t>________________ (Name / Reg No) certify that this submission is my original work and that I have adhered to the guidelines specified for this assessment.</w:t>
      </w:r>
    </w:p>
    <w:p w14:paraId="51C25DF2">
      <w:pPr>
        <w:jc w:val="both"/>
        <w:rPr>
          <w:i/>
          <w:iCs/>
        </w:rPr>
      </w:pPr>
      <w:r>
        <w:rPr>
          <w:i/>
          <w:iCs/>
        </w:rPr>
        <w:t>I understand that any violation of academic integrity rules will result in disciplinary action.</w:t>
      </w:r>
    </w:p>
    <w:p w14:paraId="289AFA50">
      <w:pPr>
        <w:rPr>
          <w:i/>
          <w:iCs/>
        </w:rPr>
      </w:pPr>
    </w:p>
    <w:p w14:paraId="5C818A08">
      <w:pPr>
        <w:spacing w:line="276" w:lineRule="auto"/>
        <w:rPr>
          <w:rFonts w:hint="default"/>
          <w:b/>
          <w:bCs/>
          <w:i/>
          <w:iCs/>
          <w:lang w:val="en-US"/>
        </w:rPr>
      </w:pPr>
      <w:r>
        <w:rPr>
          <w:b/>
          <w:bCs/>
          <w:i/>
          <w:iCs/>
        </w:rPr>
        <w:t>Signature of the student:</w:t>
      </w:r>
      <w:r>
        <w:rPr>
          <w:rFonts w:hint="default"/>
          <w:b/>
          <w:bCs/>
          <w:i/>
          <w:iCs/>
          <w:lang w:val="en-US"/>
        </w:rPr>
        <w:t xml:space="preserve"> A karthikeyan</w:t>
      </w:r>
      <w:bookmarkStart w:id="0" w:name="_GoBack"/>
      <w:bookmarkEnd w:id="0"/>
    </w:p>
    <w:p w14:paraId="1D136DB4">
      <w:pPr>
        <w:spacing w:line="276" w:lineRule="auto"/>
        <w:rPr>
          <w:b/>
          <w:bCs/>
          <w:i/>
          <w:iCs/>
        </w:rPr>
      </w:pPr>
    </w:p>
    <w:p w14:paraId="70992CD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color w:val="000000"/>
        </w:rPr>
        <w:t>RUBRICS FOR CALCULATION</w:t>
      </w:r>
    </w:p>
    <w:p w14:paraId="3F5B4A4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tbl>
      <w:tblPr>
        <w:tblStyle w:val="13"/>
        <w:tblW w:w="978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75"/>
        <w:gridCol w:w="1348"/>
        <w:gridCol w:w="1784"/>
        <w:gridCol w:w="1515"/>
        <w:gridCol w:w="1757"/>
        <w:gridCol w:w="1402"/>
      </w:tblGrid>
      <w:tr w14:paraId="793BA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5" w:type="dxa"/>
            <w:vAlign w:val="center"/>
          </w:tcPr>
          <w:p w14:paraId="2C3DECA6">
            <w:pPr>
              <w:spacing w:line="276" w:lineRule="auto"/>
              <w:jc w:val="center"/>
              <w:rPr>
                <w:b/>
                <w:bCs/>
              </w:rPr>
            </w:pPr>
            <w:r>
              <w:rPr>
                <w:rFonts w:ascii="Arial" w:hAnsi="Arial" w:eastAsia="Arial" w:cs="Arial"/>
                <w:b/>
                <w:bCs/>
                <w:color w:val="000000"/>
                <w:sz w:val="20"/>
                <w:szCs w:val="20"/>
              </w:rPr>
              <w:t>Criteria</w:t>
            </w:r>
          </w:p>
        </w:tc>
        <w:tc>
          <w:tcPr>
            <w:tcW w:w="1348" w:type="dxa"/>
            <w:vAlign w:val="center"/>
          </w:tcPr>
          <w:p w14:paraId="5EAC6821">
            <w:pPr>
              <w:spacing w:line="276" w:lineRule="auto"/>
              <w:jc w:val="center"/>
              <w:rPr>
                <w:b/>
                <w:bCs/>
              </w:rPr>
            </w:pPr>
            <w:r>
              <w:rPr>
                <w:rFonts w:ascii="Arial" w:hAnsi="Arial" w:eastAsia="Arial" w:cs="Arial"/>
                <w:b/>
                <w:bCs/>
                <w:color w:val="000000"/>
                <w:sz w:val="20"/>
                <w:szCs w:val="20"/>
              </w:rPr>
              <w:t>Weightage</w:t>
            </w:r>
          </w:p>
        </w:tc>
        <w:tc>
          <w:tcPr>
            <w:tcW w:w="1784" w:type="dxa"/>
            <w:vAlign w:val="center"/>
          </w:tcPr>
          <w:p w14:paraId="1723B34D">
            <w:pPr>
              <w:spacing w:line="276" w:lineRule="auto"/>
              <w:jc w:val="center"/>
              <w:rPr>
                <w:b/>
                <w:bCs/>
              </w:rPr>
            </w:pPr>
            <w:r>
              <w:rPr>
                <w:rFonts w:ascii="Arial" w:hAnsi="Arial" w:eastAsia="Arial" w:cs="Arial"/>
                <w:b/>
                <w:bCs/>
                <w:color w:val="000000"/>
                <w:sz w:val="20"/>
                <w:szCs w:val="20"/>
              </w:rPr>
              <w:t>Level 4 (Exemplary)</w:t>
            </w:r>
          </w:p>
        </w:tc>
        <w:tc>
          <w:tcPr>
            <w:tcW w:w="1515" w:type="dxa"/>
            <w:vAlign w:val="center"/>
          </w:tcPr>
          <w:p w14:paraId="4FA2475F">
            <w:pPr>
              <w:spacing w:line="276" w:lineRule="auto"/>
              <w:jc w:val="center"/>
              <w:rPr>
                <w:b/>
                <w:bCs/>
              </w:rPr>
            </w:pPr>
            <w:r>
              <w:rPr>
                <w:rFonts w:ascii="Arial" w:hAnsi="Arial" w:eastAsia="Arial" w:cs="Arial"/>
                <w:b/>
                <w:bCs/>
                <w:color w:val="000000"/>
                <w:sz w:val="20"/>
                <w:szCs w:val="20"/>
              </w:rPr>
              <w:t>Level 3 (Proficient)</w:t>
            </w:r>
          </w:p>
        </w:tc>
        <w:tc>
          <w:tcPr>
            <w:tcW w:w="1757" w:type="dxa"/>
            <w:vAlign w:val="center"/>
          </w:tcPr>
          <w:p w14:paraId="1F98DC68">
            <w:pPr>
              <w:spacing w:line="276" w:lineRule="auto"/>
              <w:jc w:val="center"/>
              <w:rPr>
                <w:b/>
                <w:bCs/>
              </w:rPr>
            </w:pPr>
            <w:r>
              <w:rPr>
                <w:rFonts w:ascii="Arial" w:hAnsi="Arial" w:eastAsia="Arial" w:cs="Arial"/>
                <w:b/>
                <w:bCs/>
                <w:color w:val="000000"/>
                <w:sz w:val="20"/>
                <w:szCs w:val="20"/>
              </w:rPr>
              <w:t>Level 2 (Developing)</w:t>
            </w:r>
          </w:p>
        </w:tc>
        <w:tc>
          <w:tcPr>
            <w:tcW w:w="1402" w:type="dxa"/>
            <w:vAlign w:val="center"/>
          </w:tcPr>
          <w:p w14:paraId="464C53E7">
            <w:pPr>
              <w:spacing w:line="276" w:lineRule="auto"/>
              <w:jc w:val="center"/>
              <w:rPr>
                <w:b/>
                <w:bCs/>
              </w:rPr>
            </w:pPr>
            <w:r>
              <w:rPr>
                <w:rFonts w:ascii="Arial" w:hAnsi="Arial" w:eastAsia="Arial" w:cs="Arial"/>
                <w:b/>
                <w:bCs/>
                <w:color w:val="000000"/>
                <w:sz w:val="20"/>
                <w:szCs w:val="20"/>
              </w:rPr>
              <w:t>Level 1 (Beginning)</w:t>
            </w:r>
          </w:p>
        </w:tc>
      </w:tr>
      <w:tr w14:paraId="5EC7B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5" w:type="dxa"/>
            <w:vAlign w:val="center"/>
          </w:tcPr>
          <w:p w14:paraId="7FB944F9">
            <w:pPr>
              <w:spacing w:line="276" w:lineRule="auto"/>
            </w:pPr>
            <w:r>
              <w:rPr>
                <w:rFonts w:ascii="Arial" w:hAnsi="Arial" w:eastAsia="Arial" w:cs="Arial"/>
                <w:color w:val="000000"/>
                <w:sz w:val="20"/>
                <w:szCs w:val="20"/>
              </w:rPr>
              <w:t>Understanding of Data</w:t>
            </w:r>
          </w:p>
        </w:tc>
        <w:tc>
          <w:tcPr>
            <w:tcW w:w="1348" w:type="dxa"/>
            <w:vAlign w:val="center"/>
          </w:tcPr>
          <w:p w14:paraId="0197F8FA">
            <w:pPr>
              <w:spacing w:line="276" w:lineRule="auto"/>
              <w:jc w:val="center"/>
              <w:rPr>
                <w:b/>
                <w:bCs/>
              </w:rPr>
            </w:pPr>
            <w:r>
              <w:rPr>
                <w:rFonts w:ascii="Arial" w:hAnsi="Arial" w:eastAsia="Arial" w:cs="Arial"/>
                <w:color w:val="000000"/>
                <w:sz w:val="20"/>
                <w:szCs w:val="20"/>
              </w:rPr>
              <w:t>25%</w:t>
            </w:r>
          </w:p>
        </w:tc>
        <w:tc>
          <w:tcPr>
            <w:tcW w:w="1784" w:type="dxa"/>
            <w:vAlign w:val="center"/>
          </w:tcPr>
          <w:p w14:paraId="3E372D51">
            <w:pPr>
              <w:spacing w:line="276" w:lineRule="auto"/>
            </w:pPr>
            <w:r>
              <w:rPr>
                <w:rFonts w:ascii="Arial" w:hAnsi="Arial" w:eastAsia="Arial" w:cs="Arial"/>
                <w:color w:val="000000"/>
                <w:sz w:val="20"/>
                <w:szCs w:val="20"/>
              </w:rPr>
              <w:t>Accurately interprets all data patterns, trends, and relationships</w:t>
            </w:r>
          </w:p>
        </w:tc>
        <w:tc>
          <w:tcPr>
            <w:tcW w:w="1515" w:type="dxa"/>
            <w:vAlign w:val="center"/>
          </w:tcPr>
          <w:p w14:paraId="65D2537E">
            <w:pPr>
              <w:spacing w:line="276" w:lineRule="auto"/>
            </w:pPr>
            <w:r>
              <w:rPr>
                <w:rFonts w:ascii="Arial" w:hAnsi="Arial" w:eastAsia="Arial" w:cs="Arial"/>
                <w:color w:val="000000"/>
                <w:sz w:val="20"/>
                <w:szCs w:val="20"/>
              </w:rPr>
              <w:t>Interprets data correctly with minor gaps</w:t>
            </w:r>
          </w:p>
        </w:tc>
        <w:tc>
          <w:tcPr>
            <w:tcW w:w="1757" w:type="dxa"/>
            <w:vAlign w:val="center"/>
          </w:tcPr>
          <w:p w14:paraId="50D9F0A0">
            <w:pPr>
              <w:spacing w:line="276" w:lineRule="auto"/>
            </w:pPr>
            <w:r>
              <w:rPr>
                <w:rFonts w:ascii="Arial" w:hAnsi="Arial" w:eastAsia="Arial" w:cs="Arial"/>
                <w:color w:val="000000"/>
                <w:sz w:val="20"/>
                <w:szCs w:val="20"/>
              </w:rPr>
              <w:t>Partial understanding; misses key trends</w:t>
            </w:r>
          </w:p>
        </w:tc>
        <w:tc>
          <w:tcPr>
            <w:tcW w:w="1402" w:type="dxa"/>
            <w:vAlign w:val="center"/>
          </w:tcPr>
          <w:p w14:paraId="53F0FA86">
            <w:pPr>
              <w:spacing w:line="276" w:lineRule="auto"/>
            </w:pPr>
            <w:r>
              <w:rPr>
                <w:rFonts w:ascii="Arial" w:hAnsi="Arial" w:eastAsia="Arial" w:cs="Arial"/>
                <w:color w:val="000000"/>
                <w:sz w:val="20"/>
                <w:szCs w:val="20"/>
              </w:rPr>
              <w:t>Misinterprets or fails to understand data</w:t>
            </w:r>
          </w:p>
        </w:tc>
      </w:tr>
      <w:tr w14:paraId="51AF4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5" w:type="dxa"/>
            <w:vAlign w:val="center"/>
          </w:tcPr>
          <w:p w14:paraId="2F9EE696">
            <w:pPr>
              <w:spacing w:line="276" w:lineRule="auto"/>
            </w:pPr>
            <w:r>
              <w:rPr>
                <w:rFonts w:ascii="Arial" w:hAnsi="Arial" w:eastAsia="Arial" w:cs="Arial"/>
                <w:color w:val="000000"/>
                <w:sz w:val="20"/>
                <w:szCs w:val="20"/>
              </w:rPr>
              <w:t>Analysis</w:t>
            </w:r>
          </w:p>
        </w:tc>
        <w:tc>
          <w:tcPr>
            <w:tcW w:w="1348" w:type="dxa"/>
            <w:vAlign w:val="center"/>
          </w:tcPr>
          <w:p w14:paraId="7E00CDDF">
            <w:pPr>
              <w:spacing w:line="276" w:lineRule="auto"/>
              <w:jc w:val="center"/>
              <w:rPr>
                <w:b/>
                <w:bCs/>
              </w:rPr>
            </w:pPr>
            <w:r>
              <w:rPr>
                <w:rFonts w:ascii="Arial" w:hAnsi="Arial" w:eastAsia="Arial" w:cs="Arial"/>
                <w:color w:val="000000"/>
                <w:sz w:val="20"/>
                <w:szCs w:val="20"/>
              </w:rPr>
              <w:t>25%</w:t>
            </w:r>
          </w:p>
        </w:tc>
        <w:tc>
          <w:tcPr>
            <w:tcW w:w="1784" w:type="dxa"/>
            <w:vAlign w:val="center"/>
          </w:tcPr>
          <w:p w14:paraId="7FE6EBDA">
            <w:pPr>
              <w:spacing w:line="276" w:lineRule="auto"/>
            </w:pPr>
            <w:r>
              <w:rPr>
                <w:rFonts w:ascii="Arial" w:hAnsi="Arial" w:eastAsia="Arial" w:cs="Arial"/>
                <w:color w:val="000000"/>
                <w:sz w:val="20"/>
                <w:szCs w:val="20"/>
              </w:rPr>
              <w:t>Provides deep analysis with strong logical reasoning and justification</w:t>
            </w:r>
          </w:p>
        </w:tc>
        <w:tc>
          <w:tcPr>
            <w:tcW w:w="1515" w:type="dxa"/>
            <w:vAlign w:val="center"/>
          </w:tcPr>
          <w:p w14:paraId="58F31689">
            <w:pPr>
              <w:spacing w:line="276" w:lineRule="auto"/>
            </w:pPr>
            <w:r>
              <w:rPr>
                <w:rFonts w:ascii="Arial" w:hAnsi="Arial" w:eastAsia="Arial" w:cs="Arial"/>
                <w:color w:val="000000"/>
                <w:sz w:val="20"/>
                <w:szCs w:val="20"/>
              </w:rPr>
              <w:t>Provides reasonable analysis with some justification</w:t>
            </w:r>
          </w:p>
        </w:tc>
        <w:tc>
          <w:tcPr>
            <w:tcW w:w="1757" w:type="dxa"/>
            <w:vAlign w:val="center"/>
          </w:tcPr>
          <w:p w14:paraId="00B467DB">
            <w:pPr>
              <w:spacing w:line="276" w:lineRule="auto"/>
            </w:pPr>
            <w:r>
              <w:rPr>
                <w:rFonts w:ascii="Arial" w:hAnsi="Arial" w:eastAsia="Arial" w:cs="Arial"/>
                <w:color w:val="000000"/>
                <w:sz w:val="20"/>
                <w:szCs w:val="20"/>
              </w:rPr>
              <w:t>Basic analysis with weak reasoning</w:t>
            </w:r>
          </w:p>
        </w:tc>
        <w:tc>
          <w:tcPr>
            <w:tcW w:w="1402" w:type="dxa"/>
            <w:vAlign w:val="center"/>
          </w:tcPr>
          <w:p w14:paraId="2400E71F">
            <w:pPr>
              <w:spacing w:line="276" w:lineRule="auto"/>
            </w:pPr>
            <w:r>
              <w:rPr>
                <w:rFonts w:ascii="Arial" w:hAnsi="Arial" w:eastAsia="Arial" w:cs="Arial"/>
                <w:color w:val="000000"/>
                <w:sz w:val="20"/>
                <w:szCs w:val="20"/>
              </w:rPr>
              <w:t>No meaningful analysis provided</w:t>
            </w:r>
          </w:p>
        </w:tc>
      </w:tr>
      <w:tr w14:paraId="7B4A9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5" w:type="dxa"/>
            <w:vAlign w:val="center"/>
          </w:tcPr>
          <w:p w14:paraId="4CC37B74">
            <w:pPr>
              <w:spacing w:line="276" w:lineRule="auto"/>
            </w:pPr>
            <w:r>
              <w:rPr>
                <w:rFonts w:ascii="Arial" w:hAnsi="Arial" w:eastAsia="Arial" w:cs="Arial"/>
                <w:color w:val="000000"/>
                <w:sz w:val="20"/>
                <w:szCs w:val="20"/>
              </w:rPr>
              <w:t>Application of Concepts</w:t>
            </w:r>
          </w:p>
        </w:tc>
        <w:tc>
          <w:tcPr>
            <w:tcW w:w="1348" w:type="dxa"/>
            <w:vAlign w:val="center"/>
          </w:tcPr>
          <w:p w14:paraId="0263E7C3">
            <w:pPr>
              <w:spacing w:line="276" w:lineRule="auto"/>
              <w:jc w:val="center"/>
              <w:rPr>
                <w:b/>
                <w:bCs/>
              </w:rPr>
            </w:pPr>
            <w:r>
              <w:rPr>
                <w:rFonts w:ascii="Arial" w:hAnsi="Arial" w:eastAsia="Arial" w:cs="Arial"/>
                <w:color w:val="000000"/>
                <w:sz w:val="20"/>
                <w:szCs w:val="20"/>
              </w:rPr>
              <w:t>20%</w:t>
            </w:r>
          </w:p>
        </w:tc>
        <w:tc>
          <w:tcPr>
            <w:tcW w:w="1784" w:type="dxa"/>
            <w:vAlign w:val="center"/>
          </w:tcPr>
          <w:p w14:paraId="4DBED66A">
            <w:pPr>
              <w:spacing w:line="276" w:lineRule="auto"/>
            </w:pPr>
            <w:r>
              <w:rPr>
                <w:rFonts w:ascii="Arial" w:hAnsi="Arial" w:eastAsia="Arial" w:cs="Arial"/>
                <w:color w:val="000000"/>
                <w:sz w:val="20"/>
                <w:szCs w:val="20"/>
              </w:rPr>
              <w:t>Effectively applies relevant concepts/tools to interpret data accurately</w:t>
            </w:r>
          </w:p>
        </w:tc>
        <w:tc>
          <w:tcPr>
            <w:tcW w:w="1515" w:type="dxa"/>
            <w:vAlign w:val="center"/>
          </w:tcPr>
          <w:p w14:paraId="2D3491A7">
            <w:pPr>
              <w:spacing w:line="276" w:lineRule="auto"/>
            </w:pPr>
            <w:r>
              <w:rPr>
                <w:rFonts w:ascii="Arial" w:hAnsi="Arial" w:eastAsia="Arial" w:cs="Arial"/>
                <w:color w:val="000000"/>
                <w:sz w:val="20"/>
                <w:szCs w:val="20"/>
              </w:rPr>
              <w:t>Applies concepts with minor errors</w:t>
            </w:r>
          </w:p>
        </w:tc>
        <w:tc>
          <w:tcPr>
            <w:tcW w:w="1757" w:type="dxa"/>
            <w:vAlign w:val="center"/>
          </w:tcPr>
          <w:p w14:paraId="54C488C9">
            <w:pPr>
              <w:spacing w:line="276" w:lineRule="auto"/>
            </w:pPr>
            <w:r>
              <w:rPr>
                <w:rFonts w:ascii="Arial" w:hAnsi="Arial" w:eastAsia="Arial" w:cs="Arial"/>
                <w:color w:val="000000"/>
                <w:sz w:val="20"/>
                <w:szCs w:val="20"/>
              </w:rPr>
              <w:t>Limited application; requires guidance</w:t>
            </w:r>
          </w:p>
        </w:tc>
        <w:tc>
          <w:tcPr>
            <w:tcW w:w="1402" w:type="dxa"/>
            <w:vAlign w:val="center"/>
          </w:tcPr>
          <w:p w14:paraId="12C06E0D">
            <w:pPr>
              <w:spacing w:line="276" w:lineRule="auto"/>
            </w:pPr>
            <w:r>
              <w:rPr>
                <w:rFonts w:ascii="Arial" w:hAnsi="Arial" w:eastAsia="Arial" w:cs="Arial"/>
                <w:color w:val="000000"/>
                <w:sz w:val="20"/>
                <w:szCs w:val="20"/>
              </w:rPr>
              <w:t>Unable to apply concepts to data</w:t>
            </w:r>
          </w:p>
        </w:tc>
      </w:tr>
      <w:tr w14:paraId="6A226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5" w:type="dxa"/>
            <w:vAlign w:val="center"/>
          </w:tcPr>
          <w:p w14:paraId="76EFD25D">
            <w:pPr>
              <w:spacing w:line="276" w:lineRule="auto"/>
            </w:pPr>
            <w:r>
              <w:rPr>
                <w:rFonts w:ascii="Arial" w:hAnsi="Arial" w:eastAsia="Arial" w:cs="Arial"/>
                <w:color w:val="000000"/>
                <w:sz w:val="20"/>
                <w:szCs w:val="20"/>
              </w:rPr>
              <w:t>Conclusion</w:t>
            </w:r>
          </w:p>
        </w:tc>
        <w:tc>
          <w:tcPr>
            <w:tcW w:w="1348" w:type="dxa"/>
            <w:vAlign w:val="center"/>
          </w:tcPr>
          <w:p w14:paraId="696623A8">
            <w:pPr>
              <w:spacing w:line="276" w:lineRule="auto"/>
              <w:jc w:val="center"/>
              <w:rPr>
                <w:b/>
                <w:bCs/>
              </w:rPr>
            </w:pPr>
            <w:r>
              <w:rPr>
                <w:rFonts w:ascii="Arial" w:hAnsi="Arial" w:eastAsia="Arial" w:cs="Arial"/>
                <w:color w:val="000000"/>
                <w:sz w:val="20"/>
                <w:szCs w:val="20"/>
              </w:rPr>
              <w:t>20%</w:t>
            </w:r>
          </w:p>
        </w:tc>
        <w:tc>
          <w:tcPr>
            <w:tcW w:w="1784" w:type="dxa"/>
            <w:vAlign w:val="center"/>
          </w:tcPr>
          <w:p w14:paraId="0E72D733">
            <w:pPr>
              <w:spacing w:line="276" w:lineRule="auto"/>
            </w:pPr>
            <w:r>
              <w:rPr>
                <w:rFonts w:ascii="Arial" w:hAnsi="Arial" w:eastAsia="Arial" w:cs="Arial"/>
                <w:color w:val="000000"/>
                <w:sz w:val="20"/>
                <w:szCs w:val="20"/>
              </w:rPr>
              <w:t>Draws clear, meaningful conclusions with strong insights and implications</w:t>
            </w:r>
          </w:p>
        </w:tc>
        <w:tc>
          <w:tcPr>
            <w:tcW w:w="1515" w:type="dxa"/>
            <w:vAlign w:val="center"/>
          </w:tcPr>
          <w:p w14:paraId="66B679F8">
            <w:pPr>
              <w:spacing w:line="276" w:lineRule="auto"/>
            </w:pPr>
            <w:r>
              <w:rPr>
                <w:rFonts w:ascii="Arial" w:hAnsi="Arial" w:eastAsia="Arial" w:cs="Arial"/>
                <w:color w:val="000000"/>
                <w:sz w:val="20"/>
                <w:szCs w:val="20"/>
              </w:rPr>
              <w:t>Provides valid conclusions with moderate insights</w:t>
            </w:r>
          </w:p>
        </w:tc>
        <w:tc>
          <w:tcPr>
            <w:tcW w:w="1757" w:type="dxa"/>
            <w:vAlign w:val="center"/>
          </w:tcPr>
          <w:p w14:paraId="01721303">
            <w:pPr>
              <w:spacing w:line="276" w:lineRule="auto"/>
            </w:pPr>
            <w:r>
              <w:rPr>
                <w:rFonts w:ascii="Arial" w:hAnsi="Arial" w:eastAsia="Arial" w:cs="Arial"/>
                <w:color w:val="000000"/>
                <w:sz w:val="20"/>
                <w:szCs w:val="20"/>
              </w:rPr>
              <w:t>Conclusions are vague or weak</w:t>
            </w:r>
          </w:p>
        </w:tc>
        <w:tc>
          <w:tcPr>
            <w:tcW w:w="1402" w:type="dxa"/>
            <w:vAlign w:val="center"/>
          </w:tcPr>
          <w:p w14:paraId="10500D7E">
            <w:pPr>
              <w:spacing w:line="276" w:lineRule="auto"/>
            </w:pPr>
            <w:r>
              <w:rPr>
                <w:rFonts w:ascii="Arial" w:hAnsi="Arial" w:eastAsia="Arial" w:cs="Arial"/>
                <w:color w:val="000000"/>
                <w:sz w:val="20"/>
                <w:szCs w:val="20"/>
              </w:rPr>
              <w:t>No clear or valid conclusions</w:t>
            </w:r>
          </w:p>
        </w:tc>
      </w:tr>
      <w:tr w14:paraId="129FD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5" w:type="dxa"/>
            <w:vAlign w:val="center"/>
          </w:tcPr>
          <w:p w14:paraId="449BE255">
            <w:pPr>
              <w:spacing w:line="276" w:lineRule="auto"/>
            </w:pPr>
            <w:r>
              <w:rPr>
                <w:rFonts w:ascii="Arial" w:hAnsi="Arial" w:eastAsia="Arial" w:cs="Arial"/>
                <w:color w:val="000000"/>
                <w:sz w:val="20"/>
                <w:szCs w:val="20"/>
              </w:rPr>
              <w:t>Clarity</w:t>
            </w:r>
          </w:p>
        </w:tc>
        <w:tc>
          <w:tcPr>
            <w:tcW w:w="1348" w:type="dxa"/>
            <w:vAlign w:val="center"/>
          </w:tcPr>
          <w:p w14:paraId="2B46B358">
            <w:pPr>
              <w:spacing w:line="276" w:lineRule="auto"/>
              <w:jc w:val="center"/>
              <w:rPr>
                <w:b/>
                <w:bCs/>
              </w:rPr>
            </w:pPr>
            <w:r>
              <w:rPr>
                <w:rFonts w:ascii="Arial" w:hAnsi="Arial" w:eastAsia="Arial" w:cs="Arial"/>
                <w:color w:val="000000"/>
                <w:sz w:val="20"/>
                <w:szCs w:val="20"/>
              </w:rPr>
              <w:t>10%</w:t>
            </w:r>
          </w:p>
        </w:tc>
        <w:tc>
          <w:tcPr>
            <w:tcW w:w="1784" w:type="dxa"/>
            <w:vAlign w:val="center"/>
          </w:tcPr>
          <w:p w14:paraId="525AEFFD">
            <w:pPr>
              <w:spacing w:line="276" w:lineRule="auto"/>
            </w:pPr>
            <w:r>
              <w:rPr>
                <w:rFonts w:ascii="Arial" w:hAnsi="Arial" w:eastAsia="Arial" w:cs="Arial"/>
                <w:color w:val="000000"/>
                <w:sz w:val="20"/>
                <w:szCs w:val="20"/>
              </w:rPr>
              <w:t>Presents interpretation clearly using proper structure, visuals, and terminology</w:t>
            </w:r>
          </w:p>
        </w:tc>
        <w:tc>
          <w:tcPr>
            <w:tcW w:w="1515" w:type="dxa"/>
            <w:vAlign w:val="center"/>
          </w:tcPr>
          <w:p w14:paraId="05B59F85">
            <w:pPr>
              <w:spacing w:line="276" w:lineRule="auto"/>
            </w:pPr>
            <w:r>
              <w:rPr>
                <w:rFonts w:ascii="Arial" w:hAnsi="Arial" w:eastAsia="Arial" w:cs="Arial"/>
                <w:color w:val="000000"/>
                <w:sz w:val="20"/>
                <w:szCs w:val="20"/>
              </w:rPr>
              <w:t>Generally clear with minor issues</w:t>
            </w:r>
          </w:p>
        </w:tc>
        <w:tc>
          <w:tcPr>
            <w:tcW w:w="1757" w:type="dxa"/>
            <w:vAlign w:val="center"/>
          </w:tcPr>
          <w:p w14:paraId="23B5664B">
            <w:pPr>
              <w:spacing w:line="276" w:lineRule="auto"/>
            </w:pPr>
            <w:r>
              <w:rPr>
                <w:rFonts w:ascii="Arial" w:hAnsi="Arial" w:eastAsia="Arial" w:cs="Arial"/>
                <w:color w:val="000000"/>
                <w:sz w:val="20"/>
                <w:szCs w:val="20"/>
              </w:rPr>
              <w:t>Lacks clarity or proper structure</w:t>
            </w:r>
          </w:p>
        </w:tc>
        <w:tc>
          <w:tcPr>
            <w:tcW w:w="1402" w:type="dxa"/>
            <w:vAlign w:val="center"/>
          </w:tcPr>
          <w:p w14:paraId="01220ED6">
            <w:pPr>
              <w:spacing w:line="276" w:lineRule="auto"/>
            </w:pPr>
            <w:r>
              <w:rPr>
                <w:rFonts w:ascii="Arial" w:hAnsi="Arial" w:eastAsia="Arial" w:cs="Arial"/>
                <w:color w:val="000000"/>
                <w:sz w:val="20"/>
                <w:szCs w:val="20"/>
              </w:rPr>
              <w:t>Poor presentation and difficult to understand</w:t>
            </w:r>
          </w:p>
        </w:tc>
      </w:tr>
    </w:tbl>
    <w:p w14:paraId="18BE0FA0">
      <w:pPr>
        <w:rPr>
          <w:b/>
          <w:bCs/>
          <w:sz w:val="34"/>
          <w:szCs w:val="34"/>
        </w:rPr>
      </w:pPr>
      <w:r>
        <w:rPr>
          <w:b/>
          <w:bCs/>
          <w:sz w:val="34"/>
          <w:szCs w:val="34"/>
        </w:rPr>
        <w:br w:type="page"/>
      </w:r>
    </w:p>
    <w:p w14:paraId="742BE278">
      <w:pPr>
        <w:spacing w:after="80"/>
        <w:jc w:val="both"/>
      </w:pPr>
      <w:r>
        <w:rPr>
          <w:b/>
          <w:sz w:val="24"/>
        </w:rPr>
        <w:t>1. Interpretation of increasing rewards</w:t>
      </w:r>
    </w:p>
    <w:p w14:paraId="5A305ADC">
      <w:pPr>
        <w:spacing w:after="200" w:line="259" w:lineRule="auto"/>
        <w:jc w:val="both"/>
      </w:pPr>
      <w:r>
        <w:t>The reward values increase gradually from 10 to 45 over multiple training episodes. This upward trend indicates that the Reinforcement Learning agent is improving its behaviour through experience. As training continues, the agent learns which actions produce better outcomes and gradually selects more rewarding actions.</w:t>
      </w:r>
      <w:r>
        <w:br w:type="textWrapping"/>
      </w:r>
      <w:r>
        <w:br w:type="textWrapping"/>
      </w:r>
      <w:r>
        <w:t>The increase in cumulative reward suggests that the policy is being improved because the agent is making fewer poor decisions and obtaining better returns from the environment. Although the data does not prove that the policy has reached the global optimum, the consistent improvement is a strong indication of learning progress and movement toward a better policy.</w:t>
      </w:r>
    </w:p>
    <w:p w14:paraId="12B73356">
      <w:pPr>
        <w:spacing w:after="80"/>
        <w:jc w:val="both"/>
      </w:pPr>
      <w:r>
        <w:rPr>
          <w:b/>
          <w:sz w:val="24"/>
        </w:rPr>
        <w:t>2. Effect of epsilon in epsilon-greedy exploration</w:t>
      </w:r>
    </w:p>
    <w:p w14:paraId="4752C510">
      <w:pPr>
        <w:spacing w:after="200" w:line="259" w:lineRule="auto"/>
        <w:jc w:val="both"/>
      </w:pPr>
      <w:r>
        <w:t>The cumulative reward is highest when ε = 0.1 and lowest when ε = 0.5. In an epsilon-greedy strategy, ε represents the probability of choosing an exploratory action rather than the currently best-known action. Therefore, ε = 0.1 gives the agent a strong exploitation tendency while still allowing some exploration.</w:t>
      </w:r>
      <w:r>
        <w:br w:type="textWrapping"/>
      </w:r>
      <w:r>
        <w:br w:type="textWrapping"/>
      </w:r>
      <w:r>
        <w:t>At ε = 0.5, the agent explores much more frequently and therefore selects random actions more often. This can reduce the immediate cumulative reward, especially when the agent has already discovered useful actions. Hence, among the tested values, ε = 0.1 provides the best performance because it achieves the highest cumulative reward and maintains a suitable balance between exploration and exploitation.</w:t>
      </w:r>
    </w:p>
    <w:p w14:paraId="4FB5A11A">
      <w:pPr>
        <w:spacing w:after="80"/>
        <w:jc w:val="both"/>
      </w:pPr>
      <w:r>
        <w:rPr>
          <w:b/>
          <w:sz w:val="24"/>
        </w:rPr>
        <w:t>3. Q-Learning versus SARSA</w:t>
      </w:r>
    </w:p>
    <w:p w14:paraId="5D37AC2C">
      <w:pPr>
        <w:spacing w:after="200" w:line="259" w:lineRule="auto"/>
        <w:jc w:val="both"/>
      </w:pPr>
      <w:r>
        <w:t>Q-Learning consistently produces slightly higher average rewards than SARSA at 100, 200, and 300 episodes. This indicates that Q-Learning is achieving better performance under the observed experimental conditions.</w:t>
      </w:r>
      <w:r>
        <w:br w:type="textWrapping"/>
      </w:r>
      <w:r>
        <w:br w:type="textWrapping"/>
      </w:r>
      <w:r>
        <w:t>Q-Learning is an off-policy method and updates its value toward the best possible next action, whereas SARSA is on-policy and updates using the action actually selected by the current policy. Because Q-Learning directly targets the maximum estimated future value, it can learn an optimal greedy policy more aggressively.</w:t>
      </w:r>
      <w:r>
        <w:br w:type="textWrapping"/>
      </w:r>
      <w:r>
        <w:br w:type="textWrapping"/>
      </w:r>
      <w:r>
        <w:t>Based only on the stated reward trend, Q-Learning appears to converge faster or reach better performance earlier than SARSA. However, the exact convergence speed would ideally be confirmed using the reward-versus-episode curve and a convergence criterion.</w:t>
      </w:r>
    </w:p>
    <w:p w14:paraId="77F1BA59">
      <w:pPr>
        <w:spacing w:after="80"/>
        <w:jc w:val="both"/>
      </w:pPr>
      <w:r>
        <w:rPr>
          <w:b/>
          <w:sz w:val="24"/>
        </w:rPr>
        <w:t>4. Effect of the discount factor</w:t>
      </w:r>
    </w:p>
    <w:p w14:paraId="1821B9BE">
      <w:pPr>
        <w:spacing w:after="200" w:line="259" w:lineRule="auto"/>
        <w:jc w:val="both"/>
      </w:pPr>
      <w:r>
        <w:t>The average reward increases as the discount factor γ changes from 0.2 to 0.5 and then to 0.9. The discount factor determines how strongly future rewards are considered. A low value such as 0.2 makes the agent focus mainly on immediate rewards, while a high value such as 0.9 gives greater importance to future rewards.</w:t>
      </w:r>
      <w:r>
        <w:br w:type="textWrapping"/>
      </w:r>
      <w:r>
        <w:br w:type="textWrapping"/>
      </w:r>
      <w:r>
        <w:t>Since the observed reward increases with γ, the environment benefits from considering long-term consequences. Therefore, γ = 0.9 is the most suitable of the tested values for better learning performance. It encourages the agent to choose actions that may have a smaller immediate reward but lead to larger future returns.</w:t>
      </w:r>
    </w:p>
    <w:p w14:paraId="2FC17170">
      <w:pPr>
        <w:spacing w:after="80"/>
        <w:jc w:val="both"/>
      </w:pPr>
      <w:r>
        <w:rPr>
          <w:b/>
          <w:sz w:val="24"/>
        </w:rPr>
        <w:t>5. Improvement in success rate</w:t>
      </w:r>
    </w:p>
    <w:p w14:paraId="6C1600F9">
      <w:pPr>
        <w:spacing w:after="200" w:line="259" w:lineRule="auto"/>
        <w:jc w:val="both"/>
      </w:pPr>
      <w:r>
        <w:t>The success rate increases from 45% at 50 episodes to 92% at 200 episodes. This is a substantial improvement of 47 percentage points, showing that the agent has learned much more effective behaviour as training progresses.</w:t>
      </w:r>
      <w:r>
        <w:br w:type="textWrapping"/>
      </w:r>
      <w:r>
        <w:br w:type="textWrapping"/>
      </w:r>
      <w:r>
        <w:t>The increasing success rate indicates that the policy is becoming better at selecting actions that lead to the goal. A 92% success rate is strong evidence of a well-learned policy under the tested conditions. However, it does not by itself prove that the policy is globally optimal. To claim optimality, additional evidence such as convergence of rewards, stable performance over further episodes, or comparison with an optimal/reference policy would be useful.</w:t>
      </w:r>
    </w:p>
    <w:p w14:paraId="1284B328">
      <w:pPr>
        <w:spacing w:after="80"/>
        <w:jc w:val="both"/>
      </w:pPr>
      <w:r>
        <w:rPr>
          <w:b/>
          <w:sz w:val="24"/>
        </w:rPr>
        <w:t>6. Influence of learning rate in CartPole</w:t>
      </w:r>
    </w:p>
    <w:p w14:paraId="7A41182F">
      <w:pPr>
        <w:spacing w:after="200" w:line="259" w:lineRule="auto"/>
        <w:jc w:val="both"/>
      </w:pPr>
      <w:r>
        <w:t>The learning rate controls how strongly the model updates its parameters after receiving new experience. With a learning rate of 0.01, learning may be stable but comparatively slow. At 0.1, updates are much larger, which can make learning faster but may also cause instability or overshooting.</w:t>
      </w:r>
      <w:r>
        <w:br w:type="textWrapping"/>
      </w:r>
      <w:r>
        <w:br w:type="textWrapping"/>
      </w:r>
      <w:r>
        <w:t>The agent achieves higher stability at a learning rate of 0.05. Therefore, 0.05 provides the best trade-off among the tested values because it is neither too small nor too large. It allows meaningful parameter updates while maintaining stable convergence, making it the most suitable choice for the given CartPole experiment.</w:t>
      </w:r>
    </w:p>
    <w:p w14:paraId="6035F4A2">
      <w:pPr>
        <w:spacing w:after="80"/>
        <w:jc w:val="both"/>
      </w:pPr>
      <w:r>
        <w:rPr>
          <w:b/>
          <w:sz w:val="24"/>
        </w:rPr>
        <w:t>7. Comparison of exploration strategies</w:t>
      </w:r>
    </w:p>
    <w:p w14:paraId="6F97937B">
      <w:pPr>
        <w:spacing w:after="200" w:line="259" w:lineRule="auto"/>
        <w:jc w:val="both"/>
      </w:pPr>
      <w:r>
        <w:t>The three strategies are epsilon-greedy, softmax, and random exploration. Epsilon-greedy usually exploits the best-known action while occasionally exploring another action. Softmax selects actions probabilistically according to their estimated values, giving better actions higher probabilities. Random exploration selects actions without considering their estimated values.</w:t>
      </w:r>
      <w:r>
        <w:br w:type="textWrapping"/>
      </w:r>
      <w:r>
        <w:br w:type="textWrapping"/>
      </w:r>
      <w:r>
        <w:t>Since epsilon-greedy produces the highest cumulative reward in the given experiment, it provides the best balance between exploration and exploitation for this environment. It can exploit successful actions most of the time while retaining a controlled amount of exploration. Random exploration wastes many decisions on actions without regard to their value, while softmax may distribute exploration differently from what is optimal for this particular task.</w:t>
      </w:r>
    </w:p>
    <w:p w14:paraId="6761F1D6">
      <w:pPr>
        <w:spacing w:after="80"/>
        <w:jc w:val="both"/>
      </w:pPr>
      <w:r>
        <w:rPr>
          <w:b/>
          <w:sz w:val="24"/>
        </w:rPr>
        <w:t>8. Reduction in maze steps</w:t>
      </w:r>
    </w:p>
    <w:p w14:paraId="45C30B36">
      <w:pPr>
        <w:spacing w:after="200" w:line="259" w:lineRule="auto"/>
        <w:jc w:val="both"/>
      </w:pPr>
      <w:r>
        <w:t>The number of steps required to reach the goal decreases from 50 initially to 15 after 300 episodes. This reduction means that the agent has learned a more efficient path through the maze. Fewer steps generally indicate improved decision-making and better use of previously learned experience.</w:t>
      </w:r>
      <w:r>
        <w:br w:type="textWrapping"/>
      </w:r>
      <w:r>
        <w:br w:type="textWrapping"/>
      </w:r>
      <w:r>
        <w:t>The result is strong evidence of policy improvement and suggests movement toward convergence. However, the reduction to 15 steps alone cannot prove that the policy is optimal. If 15 is the minimum possible number of steps and the performance remains stable over additional episodes, then the evidence for convergence to an optimal policy becomes much stronger.</w:t>
      </w:r>
    </w:p>
    <w:p w14:paraId="0EC1A26E">
      <w:pPr>
        <w:spacing w:after="80"/>
        <w:jc w:val="both"/>
      </w:pPr>
      <w:r>
        <w:rPr>
          <w:b/>
          <w:sz w:val="24"/>
        </w:rPr>
        <w:t>9. Discount factor in SARSA</w:t>
      </w:r>
    </w:p>
    <w:p w14:paraId="3C337242">
      <w:pPr>
        <w:spacing w:after="200" w:line="259" w:lineRule="auto"/>
        <w:jc w:val="both"/>
      </w:pPr>
      <w:r>
        <w:t>The SARSA agent obtains the highest long-term reward with γ = 0.95. A discount factor close to 1 gives significant importance to future rewards, whereas a smaller value places greater emphasis on immediate rewards.</w:t>
      </w:r>
      <w:r>
        <w:br w:type="textWrapping"/>
      </w:r>
      <w:r>
        <w:br w:type="textWrapping"/>
      </w:r>
      <w:r>
        <w:t>With γ = 0.95, the agent considers long-term consequences strongly while still slightly discounting future rewards. The observed highest long-term reward confirms that the task benefits from planning for future outcomes rather than focusing only on immediate gains. Therefore, 0.95 is the most effective of the tested discount factors for this SARSA environment.</w:t>
      </w:r>
    </w:p>
    <w:p w14:paraId="02268B23">
      <w:pPr>
        <w:spacing w:after="80"/>
        <w:jc w:val="both"/>
      </w:pPr>
      <w:r>
        <w:rPr>
          <w:b/>
          <w:sz w:val="24"/>
        </w:rPr>
        <w:t>10. Stabilization of rewards in a stochastic environment</w:t>
      </w:r>
    </w:p>
    <w:p w14:paraId="2A90D1D8">
      <w:pPr>
        <w:spacing w:after="200" w:line="259" w:lineRule="auto"/>
        <w:jc w:val="both"/>
      </w:pPr>
      <w:r>
        <w:t>The fluctuating rewards during the early episodes are expected in a stochastic environment because the agent is still exploring and the environment may produce variable outcomes. As training continues, the rewards stabilize after approximately 500 episodes.</w:t>
      </w:r>
      <w:r>
        <w:br w:type="textWrapping"/>
      </w:r>
      <w:r>
        <w:br w:type="textWrapping"/>
      </w:r>
      <w:r>
        <w:t>This stabilization indicates that the agent has learned a more consistent policy and is making decisions that produce relatively predictable returns despite environmental randomness. It is evidence of policy improvement and increased robustness. Nevertheless, stable rewards should ideally be checked across multiple episodes or independent runs to confirm that the learned policy generalizes and has genuinely converged rather than merely becoming temporarily stable.</w:t>
      </w:r>
    </w:p>
    <w:p w14:paraId="450A6FDE">
      <w:pPr>
        <w:jc w:val="both"/>
      </w:pPr>
      <w:r>
        <w:rPr>
          <w:b/>
          <w:sz w:val="24"/>
        </w:rPr>
        <w:t>Conclusion</w:t>
      </w:r>
    </w:p>
    <w:p w14:paraId="4288DFDC">
      <w:pPr>
        <w:jc w:val="both"/>
      </w:pPr>
      <w:r>
        <w:t>Overall, the observed trends show that reinforcement learning performance improves through training, suitable exploration, appropriate discounting, and stable parameter updates. Reward growth, increasing success rate, reduced path length, and reward stabilization are important indicators of policy improvement. Exact optimality or convergence should be confirmed with additional convergence criteria when the available data is insufficient.</w:t>
      </w:r>
    </w:p>
    <w:p w14:paraId="0B4436B6">
      <w:pP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2CC29DC-4DAB-43FE-BAC3-B7A09B06762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52E061C-79BC-4C5C-80D6-53033F0493E7}"/>
  </w:font>
  <w:font w:name="Wingdings">
    <w:panose1 w:val="05000000000000000000"/>
    <w:charset w:val="02"/>
    <w:family w:val="auto"/>
    <w:pitch w:val="default"/>
    <w:sig w:usb0="00000000" w:usb1="00000000" w:usb2="00000000" w:usb3="00000000" w:csb0="80000000" w:csb1="00000000"/>
    <w:embedRegular r:id="rId3" w:fontKey="{A03594FE-258B-4DC0-9171-DA8E1B991CA7}"/>
  </w:font>
  <w:font w:name="Calibri">
    <w:panose1 w:val="020F0502020204030204"/>
    <w:charset w:val="00"/>
    <w:family w:val="swiss"/>
    <w:pitch w:val="default"/>
    <w:sig w:usb0="E4002EFF" w:usb1="C200247B" w:usb2="00000009" w:usb3="00000000" w:csb0="200001FF" w:csb1="00000000"/>
    <w:embedRegular r:id="rId4" w:fontKey="{31933331-3EF0-4195-9336-76F9250A50AE}"/>
  </w:font>
  <w:font w:name="等线">
    <w:altName w:val="Microsoft YaHei"/>
    <w:panose1 w:val="00000000000000000000"/>
    <w:charset w:val="86"/>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00" w:usb3="00000000" w:csb0="00000000" w:csb1="00000000"/>
    <w:embedRegular r:id="rId5" w:fontKey="{D140106B-3189-453F-A46D-DD8E5DA9A4F6}"/>
  </w:font>
  <w:font w:name="Cambria">
    <w:panose1 w:val="02040503050406030204"/>
    <w:charset w:val="00"/>
    <w:family w:val="auto"/>
    <w:pitch w:val="default"/>
    <w:sig w:usb0="E00006FF" w:usb1="420024FF" w:usb2="02000000" w:usb3="00000000" w:csb0="2000019F" w:csb1="00000000"/>
    <w:embedRegular r:id="rId6" w:fontKey="{8F2B32A8-33C9-46B3-8ED8-4B6EC939E61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DC1"/>
    <w:rsid w:val="00020B91"/>
    <w:rsid w:val="002158F0"/>
    <w:rsid w:val="00312950"/>
    <w:rsid w:val="003F3F5C"/>
    <w:rsid w:val="00475F32"/>
    <w:rsid w:val="00616973"/>
    <w:rsid w:val="00630DC1"/>
    <w:rsid w:val="00755389"/>
    <w:rsid w:val="007E048C"/>
    <w:rsid w:val="00CF0953"/>
    <w:rsid w:val="00D67664"/>
    <w:rsid w:val="00F4514A"/>
    <w:rsid w:val="00F95F49"/>
    <w:rsid w:val="00F974A8"/>
    <w:rsid w:val="1ED059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1">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108" w:type="dxa"/>
        <w:bottom w:w="0" w:type="dxa"/>
        <w:right w:w="108" w:type="dxa"/>
      </w:tblCellMar>
    </w:tbl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39ppjkIZ5bDCFy5HJNpFQin8eA==">CgMxLjA4AHIhMUNnQjlfOVU2d2k0d1o0WkJFSUJMRUtGaVl6cmp3Z0do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6</Pages>
  <Words>716</Words>
  <Characters>4089</Characters>
  <Lines>39</Lines>
  <Paragraphs>11</Paragraphs>
  <TotalTime>0</TotalTime>
  <ScaleCrop>false</ScaleCrop>
  <LinksUpToDate>false</LinksUpToDate>
  <CharactersWithSpaces>5446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2026-07-10T09:02:00Z</dcterms:created>
  <dc:creator>A Karthikeyan</dc:creator>
  <cp:lastModifiedBy>karthi keyan</cp:lastModifiedBy>
  <dcterms:modified xsi:type="dcterms:W3CDTF">2026-08-17T03:21:57Z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eyJoZGlkIjoiNzZlNjYyMmQ5YjBmMGNiZTFlMjUzZjAxNTNjYWE1YWUiLCJ1c2VySWQiOiI1Njc0NDgzMzE4OTQifQ==</vt:lpwstr>
  </property>
  <property fmtid="{D5CDD505-2E9C-101B-9397-08002B2CF9AE}" pid="3" name="KSOProductBuildVer">
    <vt:lpwstr>1033-12.1.0.28032</vt:lpwstr>
  </property>
  <property fmtid="{D5CDD505-2E9C-101B-9397-08002B2CF9AE}" pid="4" name="ICV">
    <vt:lpwstr>852F06CE5FF348B5B79AF7D41BA925ED_12</vt:lpwstr>
  </property>
</Properties>
</file>