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绕过md5的方式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</w:pPr>
      <w:r>
        <w:drawing>
          <wp:inline distT="0" distB="0" distL="114300" distR="114300">
            <wp:extent cx="3806190" cy="2092960"/>
            <wp:effectExtent l="0" t="0" r="38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</w:pPr>
      <w:r>
        <w:drawing>
          <wp:inline distT="0" distB="0" distL="114300" distR="114300">
            <wp:extent cx="3949065" cy="7486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</w:pPr>
      <w:r>
        <w:drawing>
          <wp:inline distT="0" distB="0" distL="114300" distR="114300">
            <wp:extent cx="3231515" cy="1044575"/>
            <wp:effectExtent l="0" t="0" r="6985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方法2：科学计数法绕过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240610708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0e462097431906509019562988736854</w:t>
      </w:r>
      <w:r>
        <w:rPr>
          <w:rFonts w:hint="eastAsia"/>
          <w:lang w:val="en-US" w:eastAsia="zh-CN"/>
        </w:rPr>
        <w:t xml:space="preserve">  ----&gt;0e开头被判断成0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314282422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0e990995504821699494520356953734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571579406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0e972379832854295224118025748221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903251147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0e174510503823932942361353209384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对于双md5值的判断：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MD5和双MD5以后的值都是0e开头的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1"/>
          <w:szCs w:val="21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highlight w:val="red"/>
          <w:lang w:val="en-US" w:eastAsia="zh-CN"/>
        </w:rPr>
        <w:t>CbDLytmyGm2xQyaLNhWn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1"/>
          <w:szCs w:val="21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highlight w:val="red"/>
          <w:lang w:val="en-US" w:eastAsia="zh-CN"/>
        </w:rPr>
        <w:t>770hQgrBOjrcqftrlaZk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1"/>
          <w:szCs w:val="21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highlight w:val="red"/>
          <w:lang w:val="en-US" w:eastAsia="zh-CN"/>
        </w:rPr>
        <w:t>7r4lGXCH2Ksu2JNT3BYM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</w:docVars>
  <w:rsids>
    <w:rsidRoot w:val="00000000"/>
    <w:rsid w:val="29C0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2024-02-06T09:50:05Z</dcterms:created>
  <dc:creator>0629</dc:creator>
  <cp:lastModifiedBy>【】</cp:lastModifiedBy>
  <dcterms:modified xsi:type="dcterms:W3CDTF">2024-02-06T09:50:08Z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AC1CF29F3ED14BE39DB2BE0DBD035033</vt:lpwstr>
  </property>
</Properties>
</file>