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sz w:val="40"/>
          <w:szCs w:val="40"/>
        </w:rPr>
        <w:t xml:space="preserve">GUILLMAR ORTIZ</w:t>
      </w:r>
    </w:p>
    <w:p>
      <w:pPr>
        <w:spacing w:after="50"/>
        <w:jc w:val="center"/>
      </w:pPr>
      <w:r>
        <w:rPr>
          <w:b/>
          <w:bCs/>
          <w:color w:val="1F4E79"/>
          <w:sz w:val="22"/>
          <w:szCs w:val="22"/>
        </w:rPr>
        <w:t xml:space="preserve">GENERATIVE AI ARCHITECT  |  AI PLATFORM STRATEGY &amp; AGENTIC ARCHITECTURES</w:t>
      </w:r>
    </w:p>
    <w:p>
      <w:pPr>
        <w:spacing w:after="10"/>
        <w:jc w:val="center"/>
      </w:pPr>
      <w:r>
        <w:rPr>
          <w:sz w:val="19"/>
          <w:szCs w:val="19"/>
        </w:rPr>
        <w:t xml:space="preserve">Santiago, Chile (UTC-4)  ·  +56 9 8439 0551  ·  </w:t>
      </w:r>
      <w:hyperlink w:history="1" r:id="rIdnslyjae_kts5h7t_4bewt">
        <w:r>
          <w:rPr>
            <w:rStyle w:val="Hyperlink"/>
            <w:sz w:val="19"/>
            <w:szCs w:val="19"/>
          </w:rPr>
          <w:t xml:space="preserve">guillmar.ortiz@gmail.com</w:t>
        </w:r>
      </w:hyperlink>
      <w:r>
        <w:rPr>
          <w:sz w:val="19"/>
          <w:szCs w:val="19"/>
        </w:rPr>
        <w:t xml:space="preserve">  ·  </w:t>
      </w:r>
      <w:hyperlink w:history="1" r:id="rIdbobd6uh1ztgj34mq4mwen">
        <w:r>
          <w:rPr>
            <w:rStyle w:val="Hyperlink"/>
            <w:sz w:val="19"/>
            <w:szCs w:val="19"/>
          </w:rPr>
          <w:t xml:space="preserve">linkedin.com/in/guillmarortiz</w:t>
        </w:r>
      </w:hyperlink>
    </w:p>
    <w:p>
      <w:pPr>
        <w:spacing w:after="40"/>
        <w:jc w:val="center"/>
      </w:pPr>
      <w:r>
        <w:rPr>
          <w:color w:val="555555"/>
          <w:sz w:val="19"/>
          <w:szCs w:val="19"/>
        </w:rPr>
        <w:t xml:space="preserve">Remote (Americas / Europe)  ·  Open to international hiring via EOR or contractor (B2B)</w:t>
      </w:r>
    </w:p>
    <w:p>
      <w:pPr>
        <w:pBdr>
          <w:bottom w:val="single" w:color="AAAAAA" w:sz="6" w:space="2"/>
        </w:pBdr>
        <w:spacing w:after="70" w:before="170"/>
      </w:pPr>
      <w:r>
        <w:rPr>
          <w:b/>
          <w:bCs/>
          <w:color w:val="1F4E79"/>
          <w:sz w:val="21"/>
          <w:szCs w:val="21"/>
        </w:rPr>
        <w:t xml:space="preserve">PROFESSIONAL SUMMARY</w:t>
      </w:r>
    </w:p>
    <w:p>
      <w:pPr>
        <w:spacing w:after="40" w:line="244"/>
      </w:pPr>
      <w:r>
        <w:t xml:space="preserve">Generative AI Architect with 15+ years spanning software, solution, and enterprise architecture in retail, banking, and insurance. Currently GenAI Architecture Lead at Falabella, one of Latin America’s largest retail ecosystems, designing the corporate AI Gateway (LLM Gateway, A2A, MCP, Prompt Management, RAG as a Service) and the multi-agent orchestration architecture that turns isolated AI initiatives into governed, reusable enterprise capabilities. MSc in Artificial Intelligence. Combines AI platform strategy and governance with hands-on engineering in Python, LangChain/LangGraph, and Google ADK on GCP and Azure.</w:t>
      </w:r>
    </w:p>
    <w:p>
      <w:pPr>
        <w:pBdr>
          <w:bottom w:val="single" w:color="AAAAAA" w:sz="6" w:space="2"/>
        </w:pBdr>
        <w:spacing w:after="70" w:before="170"/>
      </w:pPr>
      <w:r>
        <w:rPr>
          <w:b/>
          <w:bCs/>
          <w:color w:val="1F4E79"/>
          <w:sz w:val="21"/>
          <w:szCs w:val="21"/>
        </w:rPr>
        <w:t xml:space="preserve">CORE SKILLS</w:t>
      </w:r>
    </w:p>
    <w:p>
      <w:pPr>
        <w:spacing w:after="44" w:line="242"/>
      </w:pPr>
      <w:r>
        <w:rPr>
          <w:b/>
          <w:bCs/>
        </w:rPr>
        <w:t xml:space="preserve">Generative AI: </w:t>
      </w:r>
      <w:r>
        <w:t xml:space="preserve">Agentic architectures · Multi-agent orchestration · MCP · A2A · LLM integration · RAG / RAG as a Service · Prompt management · AI governance · AI model &amp; solution evaluation · GenAI ROI analysis · Spec-Driven Development (SDD) · Harness Engineering</w:t>
      </w:r>
    </w:p>
    <w:p>
      <w:pPr>
        <w:spacing w:after="44" w:line="242"/>
      </w:pPr>
      <w:r>
        <w:rPr>
          <w:b/>
          <w:bCs/>
        </w:rPr>
        <w:t xml:space="preserve">GenAI Stack: </w:t>
      </w:r>
      <w:r>
        <w:t xml:space="preserve">Python · FastAPI · LangChain · LangGraph · Google ADK · n8n · Copilot Studio · Gemini Enterprise · Claude Code · GitHub Copilot · Codex</w:t>
      </w:r>
    </w:p>
    <w:p>
      <w:pPr>
        <w:spacing w:after="44" w:line="242"/>
      </w:pPr>
      <w:r>
        <w:rPr>
          <w:b/>
          <w:bCs/>
        </w:rPr>
        <w:t xml:space="preserve">Cloud &amp; Platforms: </w:t>
      </w:r>
      <w:r>
        <w:t xml:space="preserve">GCP · Azure · AWS · Kubernetes / OpenShift · Microservices · CI/CD · Terraform · Azure ExpressRoute · DR strategies (pilot light, warm standby, active-active)</w:t>
      </w:r>
    </w:p>
    <w:p>
      <w:pPr>
        <w:spacing w:after="44" w:line="242"/>
      </w:pPr>
      <w:r>
        <w:rPr>
          <w:b/>
          <w:bCs/>
        </w:rPr>
        <w:t xml:space="preserve">Architecture: </w:t>
      </w:r>
      <w:r>
        <w:t xml:space="preserve">Enterprise architecture · Solution architecture · API strategy · Application modernization · Architecture governance (LeanIX, BIAN) · Technical leadership</w:t>
      </w:r>
    </w:p>
    <w:p>
      <w:pPr>
        <w:pBdr>
          <w:bottom w:val="single" w:color="AAAAAA" w:sz="6" w:space="2"/>
        </w:pBdr>
        <w:spacing w:after="70" w:before="170"/>
      </w:pPr>
      <w:r>
        <w:rPr>
          <w:b/>
          <w:bCs/>
          <w:color w:val="1F4E79"/>
          <w:sz w:val="21"/>
          <w:szCs w:val="21"/>
        </w:rPr>
        <w:t xml:space="preserve">PROFESSIONAL EXPERIENCE</w:t>
      </w:r>
    </w:p>
    <w:p>
      <w:pPr>
        <w:tabs>
          <w:tab w:val="right" w:pos="10440"/>
        </w:tabs>
        <w:spacing w:after="20" w:before="110"/>
      </w:pPr>
      <w:r>
        <w:rPr>
          <w:b/>
          <w:bCs/>
          <w:sz w:val="21"/>
          <w:szCs w:val="21"/>
        </w:rPr>
        <w:t xml:space="preserve">FALABELLA</w:t>
      </w:r>
      <w:r>
        <w:rPr>
          <w:color w:val="555555"/>
          <w:sz w:val="20"/>
          <w:szCs w:val="20"/>
        </w:rPr>
        <w:t xml:space="preserve">  |  Santiago, Chile</w:t>
      </w:r>
      <w:r>
        <w:t xml:space="preserve">	</w:t>
      </w:r>
      <w:r>
        <w:rPr>
          <w:b/>
          <w:bCs/>
          <w:color w:val="555555"/>
          <w:sz w:val="19"/>
          <w:szCs w:val="19"/>
        </w:rPr>
        <w:t xml:space="preserve">Jan 2023 – Present</w:t>
      </w:r>
    </w:p>
    <w:p>
      <w:pPr>
        <w:spacing w:after="40"/>
      </w:pPr>
      <w:r>
        <w:rPr>
          <w:i/>
          <w:iCs/>
          <w:color w:val="555555"/>
          <w:sz w:val="18"/>
          <w:szCs w:val="18"/>
        </w:rPr>
        <w:t xml:space="preserve">One of Latin America’s largest retail ecosystems (retail, e-commerce, banking, and shopping centers).</w:t>
      </w:r>
    </w:p>
    <w:p>
      <w:pPr>
        <w:tabs>
          <w:tab w:val="right" w:pos="10440"/>
        </w:tabs>
        <w:spacing w:after="30" w:before="60"/>
      </w:pPr>
      <w:r>
        <w:rPr>
          <w:b/>
          <w:bCs/>
          <w:color w:val="1F4E79"/>
          <w:sz w:val="20"/>
          <w:szCs w:val="20"/>
        </w:rPr>
        <w:t xml:space="preserve">GenAI Architecture Lead</w:t>
      </w:r>
      <w:r>
        <w:t xml:space="preserve">	</w:t>
      </w:r>
      <w:r>
        <w:rPr>
          <w:i/>
          <w:iCs/>
          <w:color w:val="555555"/>
          <w:sz w:val="19"/>
          <w:szCs w:val="19"/>
        </w:rPr>
        <w:t xml:space="preserve">Aug 2025 – Present</w:t>
      </w:r>
    </w:p>
    <w:p>
      <w:pPr>
        <w:pStyle w:val="ListParagraph"/>
        <w:numPr>
          <w:ilvl w:val="0"/>
          <w:numId w:val="2"/>
        </w:numPr>
        <w:spacing w:after="36" w:line="242"/>
      </w:pPr>
      <w:r>
        <w:t xml:space="preserve">Lead enterprise Generative AI architecture: guidelines, patterns, the approved technology stack, and the catalog of AI models permitted for LLM, RAG, and agent-based solutions across the organization.</w:t>
      </w:r>
    </w:p>
    <w:p>
      <w:pPr>
        <w:pStyle w:val="ListParagraph"/>
        <w:numPr>
          <w:ilvl w:val="0"/>
          <w:numId w:val="2"/>
        </w:numPr>
        <w:spacing w:after="36" w:line="242"/>
      </w:pPr>
      <w:r>
        <w:t xml:space="preserve">Co-designed the corporate AI Gateway (LLM Gateway, A2A, MCP, Prompt Management, RAG as a Service), centralizing governance, control, and reuse of AI assets, including full-code agents built with LangGraph and Google ADK.</w:t>
      </w:r>
    </w:p>
    <w:p>
      <w:pPr>
        <w:pStyle w:val="ListParagraph"/>
        <w:numPr>
          <w:ilvl w:val="0"/>
          <w:numId w:val="2"/>
        </w:numPr>
        <w:spacing w:after="36" w:line="242"/>
      </w:pPr>
      <w:r>
        <w:t xml:space="preserve">Defined the company’s multi-agent orchestration architecture, built around a corporate orchestrator agent and standardized protocols (A2A, MCP) for agent-to-agent communication and access to data sources.</w:t>
      </w:r>
    </w:p>
    <w:p>
      <w:pPr>
        <w:pStyle w:val="ListParagraph"/>
        <w:numPr>
          <w:ilvl w:val="0"/>
          <w:numId w:val="2"/>
        </w:numPr>
        <w:spacing w:after="36" w:line="242"/>
      </w:pPr>
      <w:r>
        <w:t xml:space="preserve">Designed the cloud deployment architecture for the AI Gateway, with a pilot-light disaster-recovery strategy and a planned evolution path to warm standby and multi-site active-active.</w:t>
      </w:r>
    </w:p>
    <w:p>
      <w:pPr>
        <w:pStyle w:val="ListParagraph"/>
        <w:numPr>
          <w:ilvl w:val="0"/>
          <w:numId w:val="2"/>
        </w:numPr>
        <w:spacing w:after="36" w:line="242"/>
      </w:pPr>
      <w:r>
        <w:t xml:space="preserve">Built an LLM-powered evaluation agent that assesses GenAI solutions and produces reports with adoption recommendations; co-author corporate governance policies for full-code and low-code agents.</w:t>
      </w:r>
    </w:p>
    <w:p>
      <w:pPr>
        <w:pStyle w:val="ListParagraph"/>
        <w:numPr>
          <w:ilvl w:val="0"/>
          <w:numId w:val="2"/>
        </w:numPr>
        <w:spacing w:after="36" w:line="242"/>
      </w:pPr>
      <w:r>
        <w:t xml:space="preserve">Lead the Generative AI domain in the corporate adoption of LeanIX as the enterprise-architecture tool, automating the inventory and control of corporate AI agents, approved technologies, and their owners.</w:t>
      </w:r>
    </w:p>
    <w:p>
      <w:pPr>
        <w:pStyle w:val="ListParagraph"/>
        <w:numPr>
          <w:ilvl w:val="0"/>
          <w:numId w:val="2"/>
        </w:numPr>
        <w:spacing w:after="36" w:line="242"/>
      </w:pPr>
      <w:r>
        <w:t xml:space="preserve">Created Harness Fabric, an internal tool that generates AI harnesses with standardized guardrails (Harness Engineering) for AI-assisted software delivery.</w:t>
      </w:r>
    </w:p>
    <w:p>
      <w:pPr>
        <w:pStyle w:val="ListParagraph"/>
        <w:numPr>
          <w:ilvl w:val="0"/>
          <w:numId w:val="2"/>
        </w:numPr>
        <w:spacing w:after="36" w:line="242"/>
      </w:pPr>
      <w:r>
        <w:t xml:space="preserve">Presented to the architecture committee the adoption of GenAI assets (agents, MCP servers, skills) across the full SDLC and an agentic-commerce PoC based on the Universal Commerce Protocol (UCP); currently preparing the enablement of open-source LLMs for AI coding agents, funded across business units to leverage economies of scale.</w:t>
      </w:r>
    </w:p>
    <w:p>
      <w:pPr>
        <w:pStyle w:val="ListParagraph"/>
        <w:numPr>
          <w:ilvl w:val="0"/>
          <w:numId w:val="2"/>
        </w:numPr>
        <w:spacing w:after="36" w:line="242"/>
      </w:pPr>
      <w:r>
        <w:t xml:space="preserve">Contribute to the corporate initiative measuring the ROI of LLM-powered solutions; founded the Falabella AI Community and co-organized the corporate AI Hackathons in 2025 and 2026.</w:t>
      </w:r>
    </w:p>
    <w:p>
      <w:pPr>
        <w:tabs>
          <w:tab w:val="right" w:pos="10440"/>
        </w:tabs>
        <w:spacing w:after="30" w:before="60"/>
      </w:pPr>
      <w:r>
        <w:rPr>
          <w:b/>
          <w:bCs/>
          <w:color w:val="1F4E79"/>
          <w:sz w:val="20"/>
          <w:szCs w:val="20"/>
        </w:rPr>
        <w:t xml:space="preserve">Corporate Software Architect</w:t>
      </w:r>
      <w:r>
        <w:t xml:space="preserve">	</w:t>
      </w:r>
      <w:r>
        <w:rPr>
          <w:i/>
          <w:iCs/>
          <w:color w:val="555555"/>
          <w:sz w:val="19"/>
          <w:szCs w:val="19"/>
        </w:rPr>
        <w:t xml:space="preserve">Jan 2023 – Jul 2025</w:t>
      </w:r>
    </w:p>
    <w:p>
      <w:pPr>
        <w:pStyle w:val="ListParagraph"/>
        <w:numPr>
          <w:ilvl w:val="0"/>
          <w:numId w:val="2"/>
        </w:numPr>
        <w:spacing w:after="36" w:line="242"/>
      </w:pPr>
      <w:r>
        <w:t xml:space="preserve">Drove corporate architecture initiatives to raise the quality and consistency of solution architectures, enabling development teams with standards, best practices, and internal accelerators.</w:t>
      </w:r>
    </w:p>
    <w:p>
      <w:pPr>
        <w:pStyle w:val="ListParagraph"/>
        <w:numPr>
          <w:ilvl w:val="0"/>
          <w:numId w:val="2"/>
        </w:numPr>
        <w:spacing w:after="36" w:line="242"/>
      </w:pPr>
      <w:r>
        <w:t xml:space="preserve">Designed and built Repository Analyzer, an LLM-powered agent (Python, FastAPI) that audits code repositories: detects frameworks, versions, and languages; generates technical documentation (README); and reports issues with GenAI-assisted remediation guidance.</w:t>
      </w:r>
    </w:p>
    <w:p>
      <w:pPr>
        <w:pStyle w:val="ListParagraph"/>
        <w:numPr>
          <w:ilvl w:val="0"/>
          <w:numId w:val="2"/>
        </w:numPr>
        <w:spacing w:after="36" w:line="242"/>
      </w:pPr>
      <w:r>
        <w:t xml:space="preserve">Led the GenAI-driven documentation initiative, producing technical documentation and application diagrams directly from source code.</w:t>
      </w:r>
    </w:p>
    <w:p>
      <w:pPr>
        <w:pStyle w:val="ListParagraph"/>
        <w:numPr>
          <w:ilvl w:val="0"/>
          <w:numId w:val="2"/>
        </w:numPr>
        <w:spacing w:after="36" w:line="242"/>
      </w:pPr>
      <w:r>
        <w:t xml:space="preserve">Led the company-wide evaluation and selection of AI coding assistants for development teams.</w:t>
      </w:r>
    </w:p>
    <w:p>
      <w:pPr>
        <w:pStyle w:val="ListParagraph"/>
        <w:numPr>
          <w:ilvl w:val="0"/>
          <w:numId w:val="2"/>
        </w:numPr>
        <w:spacing w:after="36" w:line="242"/>
      </w:pPr>
      <w:r>
        <w:t xml:space="preserve">Led the definition of corporate software-quality standards through pipeline standardization and engineering practices.</w:t>
      </w:r>
    </w:p>
    <w:p>
      <w:pPr>
        <w:tabs>
          <w:tab w:val="right" w:pos="10440"/>
        </w:tabs>
        <w:spacing w:after="20" w:before="110"/>
      </w:pPr>
      <w:r>
        <w:rPr>
          <w:b/>
          <w:bCs/>
          <w:sz w:val="21"/>
          <w:szCs w:val="21"/>
        </w:rPr>
        <w:t xml:space="preserve">GRUPO SECURITY</w:t>
      </w:r>
      <w:r>
        <w:rPr>
          <w:color w:val="555555"/>
          <w:sz w:val="20"/>
          <w:szCs w:val="20"/>
        </w:rPr>
        <w:t xml:space="preserve">  |  Santiago, Chile</w:t>
      </w:r>
      <w:r>
        <w:t xml:space="preserve">	</w:t>
      </w:r>
      <w:r>
        <w:rPr>
          <w:b/>
          <w:bCs/>
          <w:color w:val="555555"/>
          <w:sz w:val="19"/>
          <w:szCs w:val="19"/>
        </w:rPr>
        <w:t xml:space="preserve">Jul 2021 – Dec 2022</w:t>
      </w:r>
    </w:p>
    <w:p>
      <w:pPr>
        <w:spacing w:after="40"/>
      </w:pPr>
      <w:r>
        <w:rPr>
          <w:i/>
          <w:iCs/>
          <w:color w:val="555555"/>
          <w:sz w:val="18"/>
          <w:szCs w:val="18"/>
        </w:rPr>
        <w:t xml:space="preserve">Chilean financial holding (banking, insurance, factoring, and asset management).</w:t>
      </w:r>
    </w:p>
    <w:p>
      <w:pPr>
        <w:tabs>
          <w:tab w:val="right" w:pos="10440"/>
        </w:tabs>
        <w:spacing w:after="30" w:before="60"/>
      </w:pPr>
      <w:r>
        <w:rPr>
          <w:b/>
          <w:bCs/>
          <w:color w:val="1F4E79"/>
          <w:sz w:val="20"/>
          <w:szCs w:val="20"/>
        </w:rPr>
        <w:t xml:space="preserve">Corporate Architect (Enterprise &amp; Software Architecture)</w:t>
      </w:r>
      <w:r>
        <w:t xml:space="preserve">	</w:t>
      </w:r>
      <w:r>
        <w:rPr>
          <w:i/>
          <w:iCs/>
          <w:color w:val="555555"/>
          <w:sz w:val="19"/>
          <w:szCs w:val="19"/>
        </w:rPr>
        <w:t xml:space="preserve"/>
      </w:r>
    </w:p>
    <w:p>
      <w:pPr>
        <w:pStyle w:val="ListParagraph"/>
        <w:numPr>
          <w:ilvl w:val="0"/>
          <w:numId w:val="2"/>
        </w:numPr>
        <w:spacing w:after="36" w:line="242"/>
      </w:pPr>
      <w:r>
        <w:t xml:space="preserve">Served as transversal architecture reference for multiple companies of the holding, defining guidelines, blueprints, reference patterns, and decision criteria for enterprise solutions.</w:t>
      </w:r>
    </w:p>
    <w:p>
      <w:pPr>
        <w:pStyle w:val="ListParagraph"/>
        <w:numPr>
          <w:ilvl w:val="0"/>
          <w:numId w:val="2"/>
        </w:numPr>
        <w:spacing w:after="36" w:line="242"/>
      </w:pPr>
      <w:r>
        <w:t xml:space="preserve">Worked on the redesign of the group’s digital customer channels, designing the supporting infrastructure architecture and contributing to the definition of business criteria.</w:t>
      </w:r>
    </w:p>
    <w:p>
      <w:pPr>
        <w:pStyle w:val="ListParagraph"/>
        <w:numPr>
          <w:ilvl w:val="0"/>
          <w:numId w:val="2"/>
        </w:numPr>
        <w:spacing w:after="36" w:line="242"/>
      </w:pPr>
      <w:r>
        <w:t xml:space="preserve">Led the hybrid-connectivity architecture between Azure and corporate datacenters via Azure ExpressRoute, and contributed to the adoption of Kubernetes/OpenShift for infrastructure modernization.</w:t>
      </w:r>
    </w:p>
    <w:p>
      <w:pPr>
        <w:pStyle w:val="ListParagraph"/>
        <w:numPr>
          <w:ilvl w:val="0"/>
          <w:numId w:val="2"/>
        </w:numPr>
        <w:spacing w:after="36" w:line="242"/>
      </w:pPr>
      <w:r>
        <w:t xml:space="preserve">Strengthened architecture governance with LeanIX aligned to the BIAN framework: API strategy, microservices archetypes, IBM API Connect adoption, and maturity-model evolution.</w:t>
      </w:r>
    </w:p>
    <w:p>
      <w:pPr>
        <w:pStyle w:val="ListParagraph"/>
        <w:numPr>
          <w:ilvl w:val="0"/>
          <w:numId w:val="2"/>
        </w:numPr>
        <w:spacing w:after="36" w:line="242"/>
      </w:pPr>
      <w:r>
        <w:t xml:space="preserve">Presented the adoption of Terraform (IaC) to the architecture committee to accelerate and standardize cloud configuration.</w:t>
      </w:r>
    </w:p>
    <w:p>
      <w:pPr>
        <w:tabs>
          <w:tab w:val="right" w:pos="10440"/>
        </w:tabs>
        <w:spacing w:after="20" w:before="110"/>
      </w:pPr>
      <w:r>
        <w:rPr>
          <w:b/>
          <w:bCs/>
          <w:sz w:val="21"/>
          <w:szCs w:val="21"/>
        </w:rPr>
        <w:t xml:space="preserve">NECTIA</w:t>
      </w:r>
      <w:r>
        <w:rPr>
          <w:color w:val="555555"/>
          <w:sz w:val="20"/>
          <w:szCs w:val="20"/>
        </w:rPr>
        <w:t xml:space="preserve">  |  Santiago, Chile</w:t>
      </w:r>
      <w:r>
        <w:t xml:space="preserve">	</w:t>
      </w:r>
      <w:r>
        <w:rPr>
          <w:b/>
          <w:bCs/>
          <w:color w:val="555555"/>
          <w:sz w:val="19"/>
          <w:szCs w:val="19"/>
        </w:rPr>
        <w:t xml:space="preserve">Nov 2016 – Jun 2021</w:t>
      </w:r>
    </w:p>
    <w:p>
      <w:pPr>
        <w:spacing w:after="40"/>
      </w:pPr>
      <w:r>
        <w:rPr>
          <w:i/>
          <w:iCs/>
          <w:color w:val="555555"/>
          <w:sz w:val="18"/>
          <w:szCs w:val="18"/>
        </w:rPr>
        <w:t xml:space="preserve">Software consultancy serving banking, insurance, and financial services. Promoted from Full Stack Developer to Tech Lead to Software Architect.</w:t>
      </w:r>
    </w:p>
    <w:p>
      <w:pPr>
        <w:tabs>
          <w:tab w:val="right" w:pos="10440"/>
        </w:tabs>
        <w:spacing w:after="30" w:before="60"/>
      </w:pPr>
      <w:r>
        <w:rPr>
          <w:b/>
          <w:bCs/>
          <w:color w:val="1F4E79"/>
          <w:sz w:val="20"/>
          <w:szCs w:val="20"/>
        </w:rPr>
        <w:t xml:space="preserve">Software Architect</w:t>
      </w:r>
      <w:r>
        <w:t xml:space="preserve">	</w:t>
      </w:r>
      <w:r>
        <w:rPr>
          <w:i/>
          <w:iCs/>
          <w:color w:val="555555"/>
          <w:sz w:val="19"/>
          <w:szCs w:val="19"/>
        </w:rPr>
        <w:t xml:space="preserve">Oct 2019 – Jun 2021</w:t>
      </w:r>
    </w:p>
    <w:p>
      <w:pPr>
        <w:pStyle w:val="ListParagraph"/>
        <w:numPr>
          <w:ilvl w:val="0"/>
          <w:numId w:val="2"/>
        </w:numPr>
        <w:spacing w:after="36" w:line="242"/>
      </w:pPr>
      <w:r>
        <w:t xml:space="preserve">Software architect and lead technical reference for high-criticality projects in the financial and insurance sectors.</w:t>
      </w:r>
    </w:p>
    <w:p>
      <w:pPr>
        <w:pStyle w:val="ListParagraph"/>
        <w:numPr>
          <w:ilvl w:val="0"/>
          <w:numId w:val="2"/>
        </w:numPr>
        <w:spacing w:after="36" w:line="242"/>
      </w:pPr>
      <w:r>
        <w:t xml:space="preserve">Led the design and end-to-end delivery of the Premium Refund Platform for BNP Paribas Cardif (the system that manages refund decisions for insured customers), from architecture through production release; it became the insurer’s core operations platform.</w:t>
      </w:r>
    </w:p>
    <w:p>
      <w:pPr>
        <w:pStyle w:val="ListParagraph"/>
        <w:numPr>
          <w:ilvl w:val="0"/>
          <w:numId w:val="2"/>
        </w:numPr>
        <w:spacing w:after="36" w:line="242"/>
      </w:pPr>
      <w:r>
        <w:t xml:space="preserve">Architected the modernization of the Security Factoring private site with microservices and micro-frontends; defined architecture guidelines, cloud deployment practices, CI/CD, and technical direction for delivery teams.</w:t>
      </w:r>
    </w:p>
    <w:p>
      <w:pPr>
        <w:tabs>
          <w:tab w:val="right" w:pos="10440"/>
        </w:tabs>
        <w:spacing w:after="30" w:before="60"/>
      </w:pPr>
      <w:r>
        <w:rPr>
          <w:b/>
          <w:bCs/>
          <w:color w:val="1F4E79"/>
          <w:sz w:val="20"/>
          <w:szCs w:val="20"/>
        </w:rPr>
        <w:t xml:space="preserve">Tech Lead  ·  Full Stack Developer</w:t>
      </w:r>
      <w:r>
        <w:t xml:space="preserve">	</w:t>
      </w:r>
      <w:r>
        <w:rPr>
          <w:i/>
          <w:iCs/>
          <w:color w:val="555555"/>
          <w:sz w:val="19"/>
          <w:szCs w:val="19"/>
        </w:rPr>
        <w:t xml:space="preserve">Nov 2016 – Sep 2019</w:t>
      </w:r>
    </w:p>
    <w:p>
      <w:pPr>
        <w:pStyle w:val="ListParagraph"/>
        <w:numPr>
          <w:ilvl w:val="0"/>
          <w:numId w:val="2"/>
        </w:numPr>
        <w:spacing w:after="36" w:line="242"/>
      </w:pPr>
      <w:r>
        <w:t xml:space="preserve">Coordinated enterprise application initiatives for banking and insurance clients, bridging hands-on development and architecture; built and maintained enterprise web applications applying GitFlow, SonarQube, ESLint, and agile practices.</w:t>
      </w:r>
    </w:p>
    <w:p>
      <w:pPr>
        <w:pBdr>
          <w:bottom w:val="single" w:color="AAAAAA" w:sz="6" w:space="2"/>
        </w:pBdr>
        <w:spacing w:after="70" w:before="170"/>
      </w:pPr>
      <w:r>
        <w:rPr>
          <w:b/>
          <w:bCs/>
          <w:color w:val="1F4E79"/>
          <w:sz w:val="21"/>
          <w:szCs w:val="21"/>
        </w:rPr>
        <w:t xml:space="preserve">EARLIER EXPERIENCE</w:t>
      </w:r>
    </w:p>
    <w:p>
      <w:pPr>
        <w:tabs>
          <w:tab w:val="right" w:pos="10440"/>
        </w:tabs>
        <w:spacing w:after="50" w:line="242"/>
      </w:pPr>
      <w:r>
        <w:rPr>
          <w:b/>
          <w:bCs/>
        </w:rPr>
        <w:t xml:space="preserve">Senior Full Stack Developer (Freelance)</w:t>
      </w:r>
      <w:r>
        <w:t xml:space="preserve"> | Common Management Solutions, Madrid, Spain (remote)</w:t>
      </w:r>
      <w:r>
        <w:t xml:space="preserve">	</w:t>
      </w:r>
      <w:r>
        <w:rPr>
          <w:color w:val="555555"/>
          <w:sz w:val="19"/>
          <w:szCs w:val="19"/>
        </w:rPr>
        <w:t xml:space="preserve">Apr 2016 – Nov 2017</w:t>
      </w:r>
      <w:r>
        <w:t xml:space="preserve">  ·  Led the development of a financial-sector solution: base architecture, presentation layer, REST APIs, and ecosystem integrations.</w:t>
      </w:r>
    </w:p>
    <w:p>
      <w:pPr>
        <w:tabs>
          <w:tab w:val="right" w:pos="10440"/>
        </w:tabs>
        <w:spacing w:after="50" w:line="242"/>
      </w:pPr>
      <w:r>
        <w:rPr>
          <w:b/>
          <w:bCs/>
        </w:rPr>
        <w:t xml:space="preserve">Full Stack Developer (Freelance)</w:t>
      </w:r>
      <w:r>
        <w:t xml:space="preserve"> | SDT Panama (remote)</w:t>
      </w:r>
      <w:r>
        <w:t xml:space="preserve">	</w:t>
      </w:r>
      <w:r>
        <w:rPr>
          <w:color w:val="555555"/>
          <w:sz w:val="19"/>
          <w:szCs w:val="19"/>
        </w:rPr>
        <w:t xml:space="preserve">Nov 2015 – Apr 2016</w:t>
      </w:r>
      <w:r>
        <w:t xml:space="preserve">  ·  Built the inventory and billing module of the company’s ERP platform.</w:t>
      </w:r>
    </w:p>
    <w:p>
      <w:pPr>
        <w:tabs>
          <w:tab w:val="right" w:pos="10440"/>
        </w:tabs>
        <w:spacing w:after="50" w:line="242"/>
      </w:pPr>
      <w:r>
        <w:rPr>
          <w:b/>
          <w:bCs/>
        </w:rPr>
        <w:t xml:space="preserve">Senior Web Developer &amp; Service Administrator</w:t>
      </w:r>
      <w:r>
        <w:t xml:space="preserve"> | VTELCA, Venezuela</w:t>
      </w:r>
      <w:r>
        <w:t xml:space="preserve">	</w:t>
      </w:r>
      <w:r>
        <w:rPr>
          <w:color w:val="555555"/>
          <w:sz w:val="19"/>
          <w:szCs w:val="19"/>
        </w:rPr>
        <w:t xml:space="preserve">Aug 2011 – Jul 2016</w:t>
      </w:r>
      <w:r>
        <w:t xml:space="preserve">  ·  Developed critical production-system modules, administered Linux servers, and helped implement the MES (Manufacturing Execution System) after specialized training in Shenzhen, China.</w:t>
      </w:r>
    </w:p>
    <w:p>
      <w:pPr>
        <w:tabs>
          <w:tab w:val="right" w:pos="10440"/>
        </w:tabs>
        <w:spacing w:after="50" w:line="242"/>
      </w:pPr>
      <w:r>
        <w:rPr>
          <w:b/>
          <w:bCs/>
        </w:rPr>
        <w:t xml:space="preserve">Web Developer</w:t>
      </w:r>
      <w:r>
        <w:t xml:space="preserve"> | Fundación de Ciencia y Tecnología del Estado Falcón, Venezuela</w:t>
      </w:r>
      <w:r>
        <w:t xml:space="preserve">	</w:t>
      </w:r>
      <w:r>
        <w:rPr>
          <w:color w:val="555555"/>
          <w:sz w:val="19"/>
          <w:szCs w:val="19"/>
        </w:rPr>
        <w:t xml:space="preserve">Oct 2010 – Jun 2011</w:t>
      </w:r>
      <w:r>
        <w:t xml:space="preserve">  ·  Built web applications automating administrative processes.</w:t>
      </w:r>
    </w:p>
    <w:p>
      <w:pPr>
        <w:pBdr>
          <w:bottom w:val="single" w:color="AAAAAA" w:sz="6" w:space="2"/>
        </w:pBdr>
        <w:spacing w:after="70" w:before="170"/>
      </w:pPr>
      <w:r>
        <w:rPr>
          <w:b/>
          <w:bCs/>
          <w:color w:val="1F4E79"/>
          <w:sz w:val="21"/>
          <w:szCs w:val="21"/>
        </w:rPr>
        <w:t xml:space="preserve">EDUCATION</w:t>
      </w:r>
    </w:p>
    <w:p>
      <w:pPr>
        <w:tabs>
          <w:tab w:val="right" w:pos="10440"/>
        </w:tabs>
        <w:spacing w:after="44"/>
      </w:pPr>
      <w:r>
        <w:rPr>
          <w:b/>
          <w:bCs/>
        </w:rPr>
        <w:t xml:space="preserve">MSc in Artificial Intelligence</w:t>
      </w:r>
      <w:r>
        <w:t xml:space="preserve"> | Universidad Internacional de La Rioja (UNIR), Spain</w:t>
      </w:r>
      <w:r>
        <w:t xml:space="preserve">	</w:t>
      </w:r>
      <w:r>
        <w:rPr>
          <w:color w:val="555555"/>
          <w:sz w:val="19"/>
          <w:szCs w:val="19"/>
        </w:rPr>
        <w:t xml:space="preserve">2024</w:t>
      </w:r>
    </w:p>
    <w:p>
      <w:pPr>
        <w:tabs>
          <w:tab w:val="right" w:pos="10440"/>
        </w:tabs>
        <w:spacing w:after="44"/>
      </w:pPr>
      <w:r>
        <w:rPr>
          <w:b/>
          <w:bCs/>
        </w:rPr>
        <w:t xml:space="preserve">BSc in Systems Engineering</w:t>
      </w:r>
      <w:r>
        <w:t xml:space="preserve"> | Universidad Nacional Experimental Politécnica de la Fuerza Armada (UNEFA), Venezuela</w:t>
      </w:r>
      <w:r>
        <w:t xml:space="preserve">	</w:t>
      </w:r>
      <w:r>
        <w:rPr>
          <w:color w:val="555555"/>
          <w:sz w:val="19"/>
          <w:szCs w:val="19"/>
        </w:rPr>
        <w:t xml:space="preserve">2009</w:t>
      </w:r>
    </w:p>
    <w:p>
      <w:pPr>
        <w:pBdr>
          <w:bottom w:val="single" w:color="AAAAAA" w:sz="6" w:space="2"/>
        </w:pBdr>
        <w:spacing w:after="70" w:before="170"/>
      </w:pPr>
      <w:r>
        <w:rPr>
          <w:b/>
          <w:bCs/>
          <w:color w:val="1F4E79"/>
          <w:sz w:val="21"/>
          <w:szCs w:val="21"/>
        </w:rPr>
        <w:t xml:space="preserve">CERTIFICATIONS</w:t>
      </w:r>
    </w:p>
    <w:p>
      <w:pPr>
        <w:tabs>
          <w:tab w:val="right" w:pos="10440"/>
        </w:tabs>
        <w:spacing w:after="44"/>
      </w:pPr>
      <w:r>
        <w:rPr>
          <w:b/>
          <w:bCs/>
        </w:rPr>
        <w:t xml:space="preserve">Machine Learning Specialization</w:t>
      </w:r>
      <w:r>
        <w:t xml:space="preserve"> | Stanford University &amp; DeepLearning.AI</w:t>
      </w:r>
      <w:r>
        <w:t xml:space="preserve">	</w:t>
      </w:r>
      <w:r>
        <w:rPr>
          <w:color w:val="555555"/>
          <w:sz w:val="19"/>
          <w:szCs w:val="19"/>
        </w:rPr>
        <w:t xml:space="preserve">2024</w:t>
      </w:r>
    </w:p>
    <w:p>
      <w:pPr>
        <w:tabs>
          <w:tab w:val="right" w:pos="10440"/>
        </w:tabs>
        <w:spacing w:after="44"/>
      </w:pPr>
      <w:r>
        <w:rPr>
          <w:b/>
          <w:bCs/>
        </w:rPr>
        <w:t xml:space="preserve">Microsoft Certified: Azure AI Fundamentals (AI-900)</w:t>
      </w:r>
      <w:r>
        <w:t xml:space="preserve"> | Microsoft</w:t>
      </w:r>
      <w:r>
        <w:t xml:space="preserve">	</w:t>
      </w:r>
      <w:r>
        <w:rPr>
          <w:color w:val="555555"/>
          <w:sz w:val="19"/>
          <w:szCs w:val="19"/>
        </w:rPr>
        <w:t xml:space="preserve">2023</w:t>
      </w:r>
    </w:p>
    <w:p>
      <w:pPr>
        <w:tabs>
          <w:tab w:val="right" w:pos="10440"/>
        </w:tabs>
        <w:spacing w:after="44"/>
      </w:pPr>
      <w:r>
        <w:rPr>
          <w:b/>
          <w:bCs/>
        </w:rPr>
        <w:t xml:space="preserve">Microsoft Certified: Azure Fundamentals (AZ-900)</w:t>
      </w:r>
      <w:r>
        <w:t xml:space="preserve"> | Microsoft</w:t>
      </w:r>
      <w:r>
        <w:t xml:space="preserve">	</w:t>
      </w:r>
      <w:r>
        <w:rPr>
          <w:color w:val="555555"/>
          <w:sz w:val="19"/>
          <w:szCs w:val="19"/>
        </w:rPr>
        <w:t xml:space="preserve">2021</w:t>
      </w:r>
    </w:p>
    <w:p>
      <w:pPr>
        <w:pBdr>
          <w:bottom w:val="single" w:color="AAAAAA" w:sz="6" w:space="2"/>
        </w:pBdr>
        <w:spacing w:after="70" w:before="170"/>
      </w:pPr>
      <w:r>
        <w:rPr>
          <w:b/>
          <w:bCs/>
          <w:color w:val="1F4E79"/>
          <w:sz w:val="21"/>
          <w:szCs w:val="21"/>
        </w:rPr>
        <w:t xml:space="preserve">LANGUAGES</w:t>
      </w:r>
    </w:p>
    <w:p>
      <w:pPr>
        <w:spacing w:after="20"/>
      </w:pPr>
      <w:r>
        <w:rPr>
          <w:b/>
          <w:bCs/>
        </w:rPr>
        <w:t xml:space="preserve">Spanish: </w:t>
      </w:r>
      <w:r>
        <w:t xml:space="preserve">Native      </w:t>
      </w:r>
      <w:r>
        <w:rPr>
          <w:b/>
          <w:bCs/>
        </w:rPr>
        <w:t xml:space="preserve">English: </w:t>
      </w:r>
      <w:r>
        <w:t xml:space="preserve">Professional working proficiency (B2)</w:t>
      </w:r>
    </w:p>
    <w:sectPr>
      <w:pgSz w:w="12240" w:h="15840" w:orient="portrait"/>
      <w:pgMar w:top="68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lyjae_kts5h7t_4bewt" Type="http://schemas.openxmlformats.org/officeDocument/2006/relationships/hyperlink" Target="mailto:guillmar.ortiz@gmail.com" TargetMode="External"/><Relationship Id="rIdbobd6uh1ztgj34mq4mwen" Type="http://schemas.openxmlformats.org/officeDocument/2006/relationships/hyperlink" Target="https://linkedin.com/in/guillmarortiz"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2026-07-26T20:59:12.348Z</dcterms:created>
  <dcterms:modified xsi:type="dcterms:W3CDTF">2026-07-26T20:59:12.348Z</dcterms:modified>
</cp:coreProperties>
</file>

<file path=docProps/custom.xml><?xml version="1.0" encoding="utf-8"?>
<Properties xmlns="http://schemas.openxmlformats.org/officeDocument/2006/custom-properties" xmlns:vt="http://schemas.openxmlformats.org/officeDocument/2006/docPropsVTypes"/>
</file>