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A9AAA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GoBack"/>
      <w:bookmarkEnd w:id="0"/>
      <w:r>
        <w:t>高性能计算对哪些行业领域起到支撑作用？</w:t>
      </w:r>
    </w:p>
    <w:p w14:paraId="4BD95D0B">
      <w:pPr>
        <w:pStyle w:val="3"/>
        <w:rPr>
          <w:b w:val="0"/>
          <w:bdr w:val="none" w:sz="0" w:space="0"/>
        </w:rPr>
      </w:pPr>
      <w:r>
        <w:t>高性能计算（HPC）是“算力底座”，典型支撑行业包括：</w:t>
      </w:r>
      <w:r>
        <w:rPr>
          <w:b/>
        </w:rPr>
        <w:t>能源与地球科学、气象海洋与气候、医药与生命科学、工程仿真与先进制造、金融风控</w:t>
      </w:r>
      <w:r>
        <w:t>等。以能源领域为例，HPC可用于</w:t>
      </w:r>
      <w:r>
        <w:rPr>
          <w:b/>
        </w:rPr>
        <w:t>地震数据处理、油气藏数值模拟、核聚变与新能源材料仿真</w:t>
      </w:r>
      <w:r>
        <w:t>，通过大规模并行计算提升勘探开发决策效率。气象海洋领域依赖HPC进行</w:t>
      </w:r>
      <w:r>
        <w:rPr>
          <w:b/>
        </w:rPr>
        <w:t>高分辨率数值天气预报、台风/极端天气模拟、气候变化预测</w:t>
      </w:r>
      <w:r>
        <w:t>，对防灾减灾与长期气候评估至关重要。医药研发方面，HPC用于</w:t>
      </w:r>
      <w:r>
        <w:rPr>
          <w:b/>
        </w:rPr>
        <w:t>分子动力学、蛋白质结构相关计算、虚拟筛选与基因组分析</w:t>
      </w:r>
      <w:r>
        <w:t>，可显著缩短新药发现与验证周期。工程仿真与制造则通过HPC完成</w:t>
      </w:r>
      <w:r>
        <w:rPr>
          <w:b/>
        </w:rPr>
        <w:t>CFD/结构力学/碰撞仿真、材料微观结构模拟、数字孪生</w:t>
      </w:r>
      <w:r>
        <w:t>等，减少昂贵的物理试验次数并加速产品迭代。上述方向在政府科研机构与产业界均有大量实践与投入。</w:t>
      </w:r>
    </w:p>
    <w:p w14:paraId="6FA1FAF7">
      <w:pPr>
        <w:pStyle w:val="3"/>
      </w:pPr>
      <w:r>
        <w:t>高性能计算（HPC）在能源勘探、气象海洋、医药研发、工程仿真、金融、制造等领域有广泛且深刻的应用，其行业价值和科学推动力得到众多权威机构和企业的支持。以下是参考资料</w:t>
      </w:r>
    </w:p>
    <w:p w14:paraId="1CAAC61F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"https://www.energy.gov/science/ascr/advanced-scientific-computing-research" \h </w:instrText>
      </w:r>
      <w:r>
        <w:fldChar w:fldCharType="separate"/>
      </w:r>
      <w:r>
        <w:rPr>
          <w:rStyle w:val="21"/>
        </w:rPr>
        <w:t>Advanced Scientific Computing Research - Department of Energy</w:t>
      </w:r>
      <w:r>
        <w:rPr>
          <w:rStyle w:val="21"/>
        </w:rPr>
        <w:fldChar w:fldCharType="end"/>
      </w:r>
    </w:p>
    <w:p w14:paraId="6C148057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"https://www.nvidia.cn/high-performance-computing/" \h </w:instrText>
      </w:r>
      <w:r>
        <w:fldChar w:fldCharType="separate"/>
      </w:r>
      <w:r>
        <w:rPr>
          <w:rStyle w:val="21"/>
        </w:rPr>
        <w:t>高性能计算产品和解决方案</w:t>
      </w:r>
      <w:r>
        <w:rPr>
          <w:rStyle w:val="21"/>
        </w:rPr>
        <w:t xml:space="preserve"> | NVIDIA</w:t>
      </w:r>
      <w:r>
        <w:rPr>
          <w:rStyle w:val="21"/>
        </w:rPr>
        <w:fldChar w:fldCharType="end"/>
      </w:r>
    </w:p>
    <w:p w14:paraId="22ED5E1B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"https://www.nvidia.com/en-us/high-performance-computing/hpc-and-ai/" \h </w:instrText>
      </w:r>
      <w:r>
        <w:fldChar w:fldCharType="separate"/>
      </w:r>
      <w:r>
        <w:rPr>
          <w:rStyle w:val="21"/>
        </w:rPr>
        <w:t>High Performance Computing (HPC) and AI | NVIDIA</w:t>
      </w:r>
      <w:r>
        <w:rPr>
          <w:rStyle w:val="21"/>
        </w:rPr>
        <w:fldChar w:fldCharType="end"/>
      </w:r>
    </w:p>
    <w:p w14:paraId="21AF9F7F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"https://www.intel.cn/content/dam/www/public/cn/zh/pdfs/hpc-china-brochure-cn.pdf" \h </w:instrText>
      </w:r>
      <w:r>
        <w:fldChar w:fldCharType="separate"/>
      </w:r>
      <w:r>
        <w:rPr>
          <w:rStyle w:val="21"/>
        </w:rPr>
        <w:t>高性能计算和人工智能融合共荣的未来</w:t>
      </w:r>
      <w:r>
        <w:rPr>
          <w:rStyle w:val="21"/>
        </w:rPr>
        <w:fldChar w:fldCharType="end"/>
      </w:r>
    </w:p>
    <w:p w14:paraId="6CDE5D83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"https://www.ibm.com/cn-zh/solutions/high-performance-computing" \h </w:instrText>
      </w:r>
      <w:r>
        <w:fldChar w:fldCharType="separate"/>
      </w:r>
      <w:r>
        <w:rPr>
          <w:rStyle w:val="21"/>
        </w:rPr>
        <w:t>高性能计算</w:t>
      </w:r>
      <w:r>
        <w:rPr>
          <w:rStyle w:val="21"/>
        </w:rPr>
        <w:t xml:space="preserve"> (HPC) 服务器和存储解决方案</w:t>
      </w:r>
      <w:r>
        <w:rPr>
          <w:rStyle w:val="21"/>
        </w:rPr>
        <w:t xml:space="preserve"> | IBM</w:t>
      </w:r>
      <w:r>
        <w:rPr>
          <w:rStyle w:val="21"/>
        </w:rPr>
        <w:fldChar w:fldCharType="end"/>
      </w:r>
    </w:p>
    <w:p w14:paraId="4DBC74B7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"https://e.huawei.com/cn/solutions/computing/general-computing/high-performance-computing" \h </w:instrText>
      </w:r>
      <w:r>
        <w:fldChar w:fldCharType="separate"/>
      </w:r>
      <w:r>
        <w:rPr>
          <w:rStyle w:val="21"/>
        </w:rPr>
        <w:t>高性能计算平台-超算-鲲鹏计算-华为企业业务</w:t>
      </w:r>
      <w:r>
        <w:rPr>
          <w:rStyle w:val="21"/>
        </w:rPr>
        <w:fldChar w:fldCharType="end"/>
      </w:r>
    </w:p>
    <w:p w14:paraId="7A73E40F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"https://ecas.cas.cn/xxkw/kbcd/201115_145994/ml/xxhzlyzc/202407/t20240718_5026433.html" \h </w:instrText>
      </w:r>
      <w:r>
        <w:fldChar w:fldCharType="separate"/>
      </w:r>
      <w:r>
        <w:rPr>
          <w:rStyle w:val="21"/>
        </w:rPr>
        <w:t>美NAIRR为首批35个项目提供计算资源支持----中国科学院网信工作网</w:t>
      </w:r>
      <w:r>
        <w:rPr>
          <w:rStyle w:val="21"/>
        </w:rPr>
        <w:fldChar w:fldCharType="end"/>
      </w:r>
    </w:p>
    <w:p w14:paraId="152E1982">
      <w:pPr>
        <w:pStyle w:val="3"/>
        <w:widowControl/>
        <w:numPr>
          <w:ilvl w:val="0"/>
          <w:numId w:val="2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"https://www.nvidia.com/zh-tw/high-performance-computing/" \h </w:instrText>
      </w:r>
      <w:r>
        <w:fldChar w:fldCharType="separate"/>
      </w:r>
      <w:r>
        <w:rPr>
          <w:rStyle w:val="21"/>
        </w:rPr>
        <w:t>NVIDIA 高效能運算解決方案｜推動</w:t>
      </w:r>
      <w:r>
        <w:rPr>
          <w:rStyle w:val="21"/>
        </w:rPr>
        <w:t xml:space="preserve"> HPC 運算與科學突破</w:t>
      </w:r>
      <w:r>
        <w:rPr>
          <w:rStyle w:val="21"/>
        </w:rPr>
        <w:fldChar w:fldCharType="end"/>
      </w:r>
    </w:p>
    <w:p w14:paraId="5971D623">
      <w:pPr>
        <w:spacing w:line="240" w:lineRule="auto"/>
      </w:pPr>
    </w:p>
    <w:p w14:paraId="06C2EE6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AI时代，高性能计算面临哪些机遇与挑战？</w:t>
      </w:r>
      <w:r>
        <w:t xml:space="preserve"> </w:t>
      </w:r>
    </w:p>
    <w:p w14:paraId="2D3E15ED">
      <w:pPr>
        <w:pStyle w:val="3"/>
        <w:rPr>
          <w:b w:val="0"/>
          <w:bdr w:val="none" w:sz="0" w:space="0"/>
        </w:rPr>
      </w:pPr>
      <w:r>
        <w:t>机遇上，近一年最明显趋势是</w:t>
      </w:r>
      <w:r>
        <w:rPr>
          <w:b/>
        </w:rPr>
        <w:t>HPC与AI深度融合</w:t>
      </w:r>
      <w:r>
        <w:t>：一方面“AI-on-HPC”把大模型训练/推理迁移到超算与大规模集群，另一方面“HPC-on-AI”用AI辅助传统仿真与系统运维（调度、故障预测、能耗优化）。硬件侧，GPU/AI加速器继续迭代（如从H100向更新架构演进），带来更高算力与带宽；工程侧，液冷、光互连等成为高密度集群部署关键，使HPC设施从“科学计算为主”扩展到“科学+工业+大模型”多负载共存。挑战也同步放大：第一是</w:t>
      </w:r>
      <w:r>
        <w:rPr>
          <w:b/>
        </w:rPr>
        <w:t>能耗与散热</w:t>
      </w:r>
      <w:r>
        <w:t>，高功耗节点推动液冷与绿色算力成为硬约束；第二是</w:t>
      </w:r>
      <w:r>
        <w:rPr>
          <w:b/>
        </w:rPr>
        <w:t>软件生态与可移植性</w:t>
      </w:r>
      <w:r>
        <w:t>，异构硬件并存使编程模型、通信库、性能调优成本上升；第三是</w:t>
      </w:r>
      <w:r>
        <w:rPr>
          <w:b/>
        </w:rPr>
        <w:t>供应链与地缘政治风险</w:t>
      </w:r>
      <w:r>
        <w:t>，高端加速器与关键器件受制于国际环境，促使各国强化本土化与标准体系；第四是</w:t>
      </w:r>
      <w:r>
        <w:rPr>
          <w:b/>
        </w:rPr>
        <w:t>算力服务化后的运营复杂度</w:t>
      </w:r>
      <w:r>
        <w:t>（多租户、计费、隔离与安全）。这些动态在产业分析与学术会议讨论中均被反复强调。</w:t>
      </w:r>
    </w:p>
    <w:p w14:paraId="65ECD09F">
      <w:pPr>
        <w:pStyle w:val="3"/>
      </w:pPr>
      <w:r>
        <w:t>2024-12至2025-12期间，全球高性能计算（HPC）与人工智能（AI）领域发生了诸多重要动态，包括超级计算机榜单的变更、主流GPU/AI加速器进展，以及HPC与AI的深度融合，政策与项目方面也有显著发展。下面是参考资料</w:t>
      </w:r>
    </w:p>
    <w:p w14:paraId="35B0C7DC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"https://www.iim.net.cn/91/view-26923-1.html" \h </w:instrText>
      </w:r>
      <w:r>
        <w:fldChar w:fldCharType="separate"/>
      </w:r>
      <w:r>
        <w:rPr>
          <w:rStyle w:val="21"/>
        </w:rPr>
        <w:t>高性能计算（HPC）行业产业链分析报告（2025年VYY05）_IIM信息</w:t>
      </w:r>
      <w:r>
        <w:rPr>
          <w:rStyle w:val="21"/>
        </w:rPr>
        <w:fldChar w:fldCharType="end"/>
      </w:r>
    </w:p>
    <w:p w14:paraId="594E4537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"https://zhuanlan.zhihu.com/p/744395230" \h </w:instrText>
      </w:r>
      <w:r>
        <w:fldChar w:fldCharType="separate"/>
      </w:r>
      <w:r>
        <w:rPr>
          <w:rStyle w:val="21"/>
        </w:rPr>
        <w:t>高性能计算的未来展望：深度解析2024第二十届全国高性能计算学术年会</w:t>
      </w:r>
      <w:r>
        <w:rPr>
          <w:rStyle w:val="21"/>
        </w:rPr>
        <w:t xml:space="preserve"> - 知乎</w:t>
      </w:r>
      <w:r>
        <w:rPr>
          <w:rStyle w:val="21"/>
        </w:rPr>
        <w:fldChar w:fldCharType="end"/>
      </w:r>
    </w:p>
    <w:p w14:paraId="556E1E8A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"https://cnic.cas.cn/kxyj/kyjz/202410/t20241012_7397872.html" \h </w:instrText>
      </w:r>
      <w:r>
        <w:fldChar w:fldCharType="separate"/>
      </w:r>
      <w:r>
        <w:rPr>
          <w:rStyle w:val="21"/>
        </w:rPr>
        <w:t>我中心研究成果获得2024年度全国高性能计算学术年会最佳应用奖--中国科学院计算机网络信息中心</w:t>
      </w:r>
      <w:r>
        <w:rPr>
          <w:rStyle w:val="21"/>
        </w:rPr>
        <w:fldChar w:fldCharType="end"/>
      </w:r>
    </w:p>
    <w:p w14:paraId="128AC902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"https://www.sohu.com/a/923831769_120732800" \h </w:instrText>
      </w:r>
      <w:r>
        <w:fldChar w:fldCharType="separate"/>
      </w:r>
      <w:r>
        <w:rPr>
          <w:rStyle w:val="21"/>
        </w:rPr>
        <w:t>数据中心、AI深度报告：读懂AI算力产业链（从GPU到液冷）</w:t>
      </w:r>
      <w:r>
        <w:rPr>
          <w:rStyle w:val="21"/>
        </w:rPr>
        <w:fldChar w:fldCharType="end"/>
      </w:r>
    </w:p>
    <w:p w14:paraId="454EA6C9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"https://www.intel.com/content/dam/www/public/cn/zh/pdfs/hpc-china-brochure-cn.pdf" \h </w:instrText>
      </w:r>
      <w:r>
        <w:fldChar w:fldCharType="separate"/>
      </w:r>
      <w:r>
        <w:rPr>
          <w:rStyle w:val="21"/>
        </w:rPr>
        <w:t>高性能计算和人工智能融合共荣的未来</w:t>
      </w:r>
      <w:r>
        <w:rPr>
          <w:rStyle w:val="21"/>
        </w:rPr>
        <w:t xml:space="preserve"> - Intel</w:t>
      </w:r>
      <w:r>
        <w:rPr>
          <w:rStyle w:val="21"/>
        </w:rPr>
        <w:fldChar w:fldCharType="end"/>
      </w:r>
    </w:p>
    <w:p w14:paraId="05CBA40F">
      <w:pPr>
        <w:pStyle w:val="3"/>
        <w:widowControl/>
        <w:numPr>
          <w:ilvl w:val="0"/>
          <w:numId w:val="3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"https://www.ccf.org.cn/Media_list/cncc/2024-09-23/830206.shtml" \h </w:instrText>
      </w:r>
      <w:r>
        <w:fldChar w:fldCharType="separate"/>
      </w:r>
      <w:r>
        <w:rPr>
          <w:rStyle w:val="21"/>
        </w:rPr>
        <w:t>CNCC | 高效能智能计算基础设施：高性能计算（HPC）与人工智能（AI）技术融合-中国计算机学会</w:t>
      </w:r>
      <w:r>
        <w:rPr>
          <w:rStyle w:val="21"/>
        </w:rPr>
        <w:fldChar w:fldCharType="end"/>
      </w:r>
    </w:p>
    <w:p w14:paraId="214C725A">
      <w:pPr>
        <w:pStyle w:val="3"/>
        <w:widowControl/>
        <w:numPr>
          <w:numId w:val="0"/>
        </w:numPr>
        <w:rPr>
          <w:b w:val="0"/>
          <w:bdr w:val="none" w:sz="0" w:space="0"/>
        </w:rPr>
      </w:pPr>
    </w:p>
    <w:p w14:paraId="107C2025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国际形势下，中国HPC需要什么样的人才与技术？</w:t>
      </w:r>
      <w:r>
        <w:t xml:space="preserve"> </w:t>
      </w:r>
    </w:p>
    <w:p w14:paraId="293367D7">
      <w:pPr>
        <w:pStyle w:val="3"/>
        <w:rPr>
          <w:b w:val="0"/>
          <w:bdr w:val="none" w:sz="0" w:space="0"/>
        </w:rPr>
      </w:pPr>
      <w:r>
        <w:t>在国际竞争与供应链不确定性背景下，中国HPC更需要“</w:t>
      </w:r>
      <w:r>
        <w:rPr>
          <w:b/>
        </w:rPr>
        <w:t>软硬协同 + 系统工程 + 应用牵引</w:t>
      </w:r>
      <w:r>
        <w:t>”的人才与技术体系。人才方面，一类是</w:t>
      </w:r>
      <w:r>
        <w:rPr>
          <w:b/>
        </w:rPr>
        <w:t>体系结构与芯片/互连工程人才</w:t>
      </w:r>
      <w:r>
        <w:t>（CPU/GPU/加速器架构、片上互连、网络与存储、先进封装与能效优化），以支撑关键部件自主可控；一类是</w:t>
      </w:r>
      <w:r>
        <w:rPr>
          <w:b/>
        </w:rPr>
        <w:t>系统软件与并行程序人才</w:t>
      </w:r>
      <w:r>
        <w:t>（编译器、运行时、并行IO、通信库、调度与容器化、可观测与运维），解决异构平台可用性与生态短板；第三类是</w:t>
      </w:r>
      <w:r>
        <w:rPr>
          <w:b/>
        </w:rPr>
        <w:t>“HPC+AI+行业”复合型人才</w:t>
      </w:r>
      <w:r>
        <w:t>，能把大模型与科学/工业仿真结合，推动算力服务化落地。技术方面，国内近一年在</w:t>
      </w:r>
      <w:r>
        <w:rPr>
          <w:b/>
        </w:rPr>
        <w:t>算力枢纽与“东数西算”*</w:t>
      </w:r>
      <w:r>
        <w:rPr>
          <w:b/>
          <w:i/>
        </w:rPr>
        <w:t>推进、**HPC TOP100榜单发布**、以及国产CPU/GPU与互连标准（如高通量以太网协议）等方面都有信号：即从单纯追求峰值转向*</w:t>
      </w:r>
      <w:r>
        <w:rPr>
          <w:b/>
        </w:rPr>
        <w:t>算力网络化、服务化、绿色化与生态化</w:t>
      </w:r>
      <w:r>
        <w:t>。因此我国需要更强的：国产异构算力集群工程能力、绿色液冷与能耗管理、统一编程模型与迁移工具链、面向大模型的并行训练/推理系统，以及算力调度与安全治理能力，才能在复杂国际环境下稳住关键基础设施并支撑产业应用升级。</w:t>
      </w:r>
    </w:p>
    <w:p w14:paraId="360D5C8A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"https://news.qq.com/rain/a/20241119A015VN00" \h </w:instrText>
      </w:r>
      <w:r>
        <w:fldChar w:fldCharType="separate"/>
      </w:r>
      <w:r>
        <w:rPr>
          <w:rStyle w:val="21"/>
        </w:rPr>
        <w:t>新质生产力</w:t>
      </w:r>
      <w:r>
        <w:rPr>
          <w:rStyle w:val="21"/>
        </w:rPr>
        <w:t xml:space="preserve"> 2024中国高性能计算机榜单发布_腾讯新闻</w:t>
      </w:r>
      <w:r>
        <w:rPr>
          <w:rStyle w:val="21"/>
        </w:rPr>
        <w:fldChar w:fldCharType="end"/>
      </w:r>
    </w:p>
    <w:p w14:paraId="42D6BE0E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"https://www.sohu.com/a/827593079_121798711" \h </w:instrText>
      </w:r>
      <w:r>
        <w:fldChar w:fldCharType="separate"/>
      </w:r>
      <w:r>
        <w:rPr>
          <w:rStyle w:val="21"/>
        </w:rPr>
        <w:t>2024中国高性能计算机TOP100榜单揭晓：行业回顾与未来展望</w:t>
      </w:r>
      <w:r>
        <w:rPr>
          <w:rStyle w:val="21"/>
        </w:rPr>
        <w:fldChar w:fldCharType="end"/>
      </w:r>
    </w:p>
    <w:p w14:paraId="54850201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"https://www.36kr.com/p/2407650296013825" \h </w:instrText>
      </w:r>
      <w:r>
        <w:fldChar w:fldCharType="separate"/>
      </w:r>
      <w:r>
        <w:rPr>
          <w:rStyle w:val="21"/>
        </w:rPr>
        <w:t>中国HPC，潜力无限</w:t>
      </w:r>
      <w:r>
        <w:rPr>
          <w:rStyle w:val="21"/>
        </w:rPr>
        <w:t xml:space="preserve"> - 36氪</w:t>
      </w:r>
      <w:r>
        <w:rPr>
          <w:rStyle w:val="21"/>
        </w:rPr>
        <w:fldChar w:fldCharType="end"/>
      </w:r>
    </w:p>
    <w:p w14:paraId="44E988BD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"https://zhuanlan.zhihu.com/p/744395230" \h </w:instrText>
      </w:r>
      <w:r>
        <w:fldChar w:fldCharType="separate"/>
      </w:r>
      <w:r>
        <w:rPr>
          <w:rStyle w:val="21"/>
        </w:rPr>
        <w:t>高性能计算的未来展望：深度解析2024第二十届全国高性能计算学术年会</w:t>
      </w:r>
      <w:r>
        <w:rPr>
          <w:rStyle w:val="21"/>
        </w:rPr>
        <w:t xml:space="preserve"> - 知乎</w:t>
      </w:r>
      <w:r>
        <w:rPr>
          <w:rStyle w:val="21"/>
        </w:rPr>
        <w:fldChar w:fldCharType="end"/>
      </w:r>
    </w:p>
    <w:p w14:paraId="18514BB2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"https://www.csiam.org.cn/1003/202411/2246.html" \h </w:instrText>
      </w:r>
      <w:r>
        <w:fldChar w:fldCharType="separate"/>
      </w:r>
      <w:r>
        <w:rPr>
          <w:rStyle w:val="21"/>
        </w:rPr>
        <w:t>2024年中国高性能计算机性能TOP100排行榜正式发布</w:t>
      </w:r>
      <w:r>
        <w:rPr>
          <w:rStyle w:val="21"/>
        </w:rPr>
        <w:fldChar w:fldCharType="end"/>
      </w:r>
    </w:p>
    <w:p w14:paraId="28511564">
      <w:pPr>
        <w:pStyle w:val="3"/>
        <w:widowControl/>
        <w:numPr>
          <w:ilvl w:val="0"/>
          <w:numId w:val="4"/>
        </w:numPr>
        <w:ind w:left="0" w:leftChars="0" w:firstLine="480" w:firstLineChars="0"/>
        <w:rPr>
          <w:b w:val="0"/>
          <w:bdr w:val="none" w:sz="0" w:space="0"/>
        </w:rPr>
      </w:pPr>
      <w:r>
        <w:fldChar w:fldCharType="begin"/>
      </w:r>
      <w:r>
        <w:instrText xml:space="preserve"> HYPERLINK "https://www.huaon.com/channel/computer/982920.html" \h </w:instrText>
      </w:r>
      <w:r>
        <w:fldChar w:fldCharType="separate"/>
      </w:r>
      <w:r>
        <w:rPr>
          <w:rStyle w:val="21"/>
        </w:rPr>
        <w:t>2024-2030年中国高性能计算（HPC）行业发展监测及发展趋势预测报告</w:t>
      </w:r>
      <w:r>
        <w:rPr>
          <w:rStyle w:val="21"/>
          <w:i/>
        </w:rPr>
        <w:t>华经情报网</w:t>
      </w:r>
      <w:r>
        <w:rPr>
          <w:rStyle w:val="21"/>
        </w:rPr>
        <w:t>华经产业研究院</w:t>
      </w:r>
      <w:r>
        <w:rPr>
          <w:rStyle w:val="21"/>
        </w:rPr>
        <w:fldChar w:fldCharType="end"/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A35705"/>
    <w:multiLevelType w:val="singleLevel"/>
    <w:tmpl w:val="DCA35705"/>
    <w:lvl w:ilvl="0" w:tentative="0">
      <w:start w:val="1"/>
      <w:numFmt w:val="decimal"/>
      <w:suff w:val="nothing"/>
      <w:lvlText w:val="%1）"/>
      <w:lvlJc w:val="left"/>
      <w:pPr>
        <w:ind w:left="0" w:firstLine="0"/>
      </w:pPr>
      <w:rPr>
        <w:rFonts w:hint="default"/>
      </w:rPr>
    </w:lvl>
  </w:abstractNum>
  <w:abstractNum w:abstractNumId="1">
    <w:nsid w:val="DE5ADEDE"/>
    <w:multiLevelType w:val="singleLevel"/>
    <w:tmpl w:val="DE5ADED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2E7FDA6A"/>
    <w:multiLevelType w:val="singleLevel"/>
    <w:tmpl w:val="2E7FDA6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661AFE35"/>
    <w:multiLevelType w:val="singleLevel"/>
    <w:tmpl w:val="661AFE3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2873FC2"/>
    <w:rsid w:val="464320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3"/>
    <w:link w:val="32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link w:val="33"/>
    <w:semiHidden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link w:val="34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link w:val="35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link w:val="36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link w:val="3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link w:val="38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link w:val="39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link w:val="40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link w:val="22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next w:val="3"/>
    <w:link w:val="26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paragraph" w:styleId="16">
    <w:name w:val="Subtitle"/>
    <w:next w:val="3"/>
    <w:link w:val="27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FollowedHyperlink"/>
    <w:basedOn w:val="19"/>
    <w:uiPriority w:val="0"/>
    <w:rPr>
      <w:color w:val="800080"/>
      <w:u w:val="single"/>
    </w:rPr>
  </w:style>
  <w:style w:type="character" w:styleId="21">
    <w:name w:val="Hyperlink"/>
    <w:basedOn w:val="22"/>
    <w:uiPriority w:val="0"/>
    <w:rPr>
      <w:color w:val="4874CB" w:themeColor="accent1"/>
    </w:rPr>
  </w:style>
  <w:style w:type="character" w:customStyle="1" w:styleId="22">
    <w:name w:val="Body Text Char"/>
    <w:basedOn w:val="19"/>
    <w:link w:val="3"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2D54A0" w:themeColor="accent1" w:themeShade="BF"/>
      <w:sz w:val="40"/>
      <w:szCs w:val="40"/>
    </w:rPr>
  </w:style>
  <w:style w:type="character" w:customStyle="1" w:styleId="33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34">
    <w:name w:val="Heading 3 Char"/>
    <w:basedOn w:val="19"/>
    <w:link w:val="5"/>
    <w:semiHidden/>
    <w:qFormat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35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2D54A0" w:themeColor="accent1" w:themeShade="BF"/>
    </w:rPr>
  </w:style>
  <w:style w:type="character" w:customStyle="1" w:styleId="36">
    <w:name w:val="Heading 5 Char"/>
    <w:basedOn w:val="19"/>
    <w:link w:val="7"/>
    <w:semiHidden/>
    <w:qFormat/>
    <w:uiPriority w:val="9"/>
    <w:rPr>
      <w:rFonts w:eastAsiaTheme="majorEastAsia" w:cstheme="majorBidi"/>
      <w:color w:val="2D54A0" w:themeColor="accent1" w:themeShade="BF"/>
    </w:rPr>
  </w:style>
  <w:style w:type="character" w:customStyle="1" w:styleId="37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1836</Words>
  <Characters>2133</Characters>
  <Lines>12</Lines>
  <Paragraphs>8</Paragraphs>
  <TotalTime>9</TotalTime>
  <ScaleCrop>false</ScaleCrop>
  <LinksUpToDate>false</LinksUpToDate>
  <CharactersWithSpaces>2177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2025-12-30T15:45:00Z</dcterms:created>
  <dc:creator>高文广</dc:creator>
  <cp:lastModifiedBy>高文广</cp:lastModifiedBy>
  <dcterms:modified xsi:type="dcterms:W3CDTF">2025-12-30T15:49:10Z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eyJoZGlkIjoiMWUzMGJlYjg1ODI0NDcxNzg0YTc4ZDU1ZDFmMmE2Y2MiLCJ1c2VySWQiOiIxNjg1NDQ4NDkyIn0=</vt:lpwstr>
  </property>
  <property fmtid="{D5CDD505-2E9C-101B-9397-08002B2CF9AE}" pid="3" name="KSOProductBuildVer">
    <vt:lpwstr>2052-12.1.0.23542</vt:lpwstr>
  </property>
  <property fmtid="{D5CDD505-2E9C-101B-9397-08002B2CF9AE}" pid="4" name="ICV">
    <vt:lpwstr>2CFE53089DC349EEB342F248A07AAE17_12</vt:lpwstr>
  </property>
</Properties>
</file>