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B365D"/>
          <w:sz w:val="44"/>
        </w:rPr>
        <w:t>Insurance Growth OS: Architecture &amp; Core Use Cases</w:t>
      </w:r>
    </w:p>
    <w:p>
      <w:pPr>
        <w:spacing w:after="320"/>
      </w:pPr>
      <w:r>
        <w:rPr>
          <w:i/>
          <w:color w:val="008080"/>
          <w:sz w:val="20"/>
        </w:rPr>
        <w:t>Target Entities: Independent Brokerages &amp; Managing General Agents (MGAs)</w:t>
        <w:br/>
        <w:t>Primary Goal: Accelerate revenue expansion, eliminate manual operational bottlenecks, and automate policy servicing using AI-driven omni-channel workflows.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Executive Summary</w:t>
      </w:r>
    </w:p>
    <w:p>
      <w:pPr>
        <w:spacing w:before="0" w:after="80" w:line="276" w:lineRule="auto"/>
      </w:pPr>
      <w:r>
        <w:rPr>
          <w:i w:val="0"/>
          <w:color w:val="333333"/>
        </w:rPr>
        <w:t>The Insurance Growth OS is an end-to-end operational and customer engagement engine. By combining conversational AI (Voice, Chat, Email), document parsing (OCR/NLP), and automated API integrations, the system handles complex workflows across the entire insurance lifecycle—from acquisition to retention and claims advocacy.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B365D"/>
                <w:sz w:val="17"/>
              </w:rPr>
              <w:t xml:space="preserve">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│               Omni-Channel Intake Layer                 │</w:t>
              <w:br/>
              <w:t xml:space="preserve">                    │      (Voice AI, Chatbot, Web Forms, Inbound Email)     │</w:t>
              <w:br/>
              <w:t xml:space="preserve">                    └──────────────────────────┬─────────────────────────────┘</w:t>
              <w:br/>
              <w:t xml:space="preserve">                                               │</w:t>
              <w:br/>
              <w:t xml:space="preserve">                                               ▼</w:t>
              <w:br/>
              <w:t xml:space="preserve">                    ┌────────────────────────────────────────────────────────┐</w:t>
              <w:br/>
              <w:t xml:space="preserve">                    │                Growth OS Logic Engine                  │</w:t>
              <w:br/>
              <w:t xml:space="preserve">                    │  • ACORD Parsing  • Cross-Sell Analytics               │</w:t>
              <w:br/>
              <w:t xml:space="preserve">                    │  • Dynamic Forms  • Authority Threshold Validation      │</w:t>
              <w:br/>
              <w:t xml:space="preserve">                    └───────────┬──────────────────────────────┬─────────────┘</w:t>
              <w:br/>
              <w:t xml:space="preserve">                                │                              │</w:t>
              <w:br/>
              <w:t xml:space="preserve">                                ▼                              ▼</w:t>
              <w:br/>
              <w:t xml:space="preserve">                    ┌──────────────────────┐        ┌──────────────────────┐</w:t>
              <w:br/>
              <w:t xml:space="preserve">                    │  MGA Underwriting    │        │ Brokerage Servicing  │</w:t>
              <w:br/>
              <w:t xml:space="preserve">                    │  • Auto-Bind / Refer │        │ • Auto COI &amp; Endorse │</w:t>
              <w:br/>
              <w:t xml:space="preserve">                    │  • Bordereaux Engine │        │ • Renewal Auto-Shop  │</w:t>
              <w:br/>
              <w:t xml:space="preserve">                    └──────────────────────┘        └──────────────────────┘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1. Top-of-Funnel: Acquisition, Lead Engagement &amp; Quoting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1.1 Lead Ingestion &amp; Instant "Speed-to-Lead" Response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Digital aggregators (Insurify, SmartFinancial, CoverHound) and web forms generate real-time lead payloads.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Payload Ingestion: </w:t>
      </w:r>
      <w:r>
        <w:rPr>
          <w:color w:val="333333"/>
        </w:rPr>
        <w:t>Lead vendor pushes a JSON/XML webhook to the Growth OS.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TCPA Verification: </w:t>
      </w:r>
      <w:r>
        <w:rPr>
          <w:color w:val="333333"/>
        </w:rPr>
        <w:t>Validates lead compliance via platforms like TrustedForm/Jornaya.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Automated Deflection &amp; Engagement: </w:t>
      </w:r>
      <w:r>
        <w:rPr>
          <w:color w:val="333333"/>
        </w:rPr>
        <w:t>Within 15 seconds, the OS initiates an automated SMS sequence or Voice AI call to verify intent and guide the prospective client through initial underwriting questions.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1.2 AI-Powered "Request for Quote" (RFQ) &amp; ACORD Extraction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Commercial quotes typically require dense manual data entry across ACORD applications (e.g., ACORD 125/126/130).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Document Upload: </w:t>
      </w:r>
      <w:r>
        <w:rPr>
          <w:color w:val="333333"/>
        </w:rPr>
        <w:t>Prospect or sub-producer emails/uploads PDF loss runs, prior dec sheets, or tax documents.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Extraction Engine: </w:t>
      </w:r>
      <w:r>
        <w:rPr>
          <w:color w:val="333333"/>
        </w:rPr>
        <w:t>Intelligent OCR/NLP parses unstructured PDFs into structured JSON.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Dynamic Intake Form: </w:t>
      </w:r>
      <w:r>
        <w:rPr>
          <w:color w:val="333333"/>
        </w:rPr>
        <w:t>Prompts the user via chat/email only for missing data required by targeted carriers.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4. ACORD Auto-Population: </w:t>
      </w:r>
      <w:r>
        <w:rPr>
          <w:color w:val="333333"/>
        </w:rPr>
        <w:t>Generates pre-filled ACORD forms ready for market submission.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2. Policy Servicing &amp; Operations Automation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2.1 Automated Certificate of Insurance (COI) &amp; Endorsements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High-volume, manual requests for COIs, Auto ID cards, and policy change orders (e.g., adding a vehicle or updating mortgagees) create servicing bottlenecks.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Omni-Channel Request: </w:t>
      </w:r>
      <w:r>
        <w:rPr>
          <w:color w:val="333333"/>
        </w:rPr>
        <w:t>Client emails or chats: "I need a COI issued to my new landlord."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Intent &amp; Entity Extraction: </w:t>
      </w:r>
      <w:r>
        <w:rPr>
          <w:color w:val="333333"/>
        </w:rPr>
        <w:t>AI identifies the request type, policy number, and certificate holder details.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System Lookup: </w:t>
      </w:r>
      <w:r>
        <w:rPr>
          <w:color w:val="333333"/>
        </w:rPr>
        <w:t>Validates policy status in the Agency Management System (AMS) / Policy Administration System (PAS).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4. Execution &amp; Delivery: </w:t>
      </w:r>
      <w:r>
        <w:rPr>
          <w:color w:val="333333"/>
        </w:rPr>
        <w:t>Generates the compliant PDF certificate/endorsement order and delivers it via email/SMS instantly.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2.2 Proactive Renewal Protection &amp; Auto-Remarketing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Unannounced premium increases lead to customer churn.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Pre-Renewal Audit: </w:t>
      </w:r>
      <w:r>
        <w:rPr>
          <w:color w:val="333333"/>
        </w:rPr>
        <w:t>90 days prior to policy expiration, the OS queries carrier rates.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Threshold Trigger: </w:t>
      </w:r>
      <w:r>
        <w:rPr>
          <w:color w:val="333333"/>
        </w:rPr>
        <w:t>If rate increase exceeds a predefined threshold (e.g., &gt;8%), the OS flags the account.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Client Outreach: </w:t>
      </w:r>
      <w:r>
        <w:rPr>
          <w:color w:val="333333"/>
        </w:rPr>
        <w:t>Voice AI / Email reaches out to collect updated exposure details.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4. Auto-Shop: </w:t>
      </w:r>
      <w:r>
        <w:rPr>
          <w:color w:val="333333"/>
        </w:rPr>
        <w:t>Pushes updated risk data into comparative raters to present re-quoted alternatives before the client shops elsewhere.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3. MGA Delegated Authority &amp; Underwriting Workflows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3.1 Binding Authority &amp; Automated Referral Engine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MGAs must adhere strictly to capacity providers' binding guidelines.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Underwriting Validation: </w:t>
      </w:r>
      <w:r>
        <w:rPr>
          <w:color w:val="333333"/>
        </w:rPr>
        <w:t>Ingested risk parameters are cross-checked against MGA authority rules (limits, line sizes, high-risk ZIP codes).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Straight-Through Processing (STP): </w:t>
      </w:r>
      <w:r>
        <w:rPr>
          <w:color w:val="333333"/>
        </w:rPr>
        <w:t>Standard, low-risk policies are automatically approved for instant binding.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Referral Routing: </w:t>
      </w:r>
      <w:r>
        <w:rPr>
          <w:color w:val="333333"/>
        </w:rPr>
        <w:t>Non-standard risks trigger a structured summary payload sent directly to an underwriter’s task queue for review.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3.2 Automated Bordereaux Reporting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MGAs must send detailed monthly transactional reports to carrier partners.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Data Aggregation: </w:t>
      </w:r>
      <w:r>
        <w:rPr>
          <w:color w:val="333333"/>
        </w:rPr>
        <w:t>The OS pulls bind, endorsement, cancellation, and premium transaction logs.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Schema Normalization: </w:t>
      </w:r>
      <w:r>
        <w:rPr>
          <w:color w:val="333333"/>
        </w:rPr>
        <w:t>Maps internal fields to each carrier's specific Bordereaux Excel/CSV schema.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Automated Submission: </w:t>
      </w:r>
      <w:r>
        <w:rPr>
          <w:color w:val="333333"/>
        </w:rPr>
        <w:t>Executes compliance checks and auto-delivers monthly reports.</w:t>
      </w:r>
    </w:p>
    <w:p>
      <w:pPr>
        <w:keepNext/>
        <w:spacing w:before="320" w:after="120"/>
      </w:pPr>
      <w:r>
        <w:rPr>
          <w:b/>
          <w:color w:val="1B365D"/>
          <w:sz w:val="28"/>
        </w:rPr>
        <w:t>4. Claims Advocacy &amp; FNOL Automation</w:t>
      </w:r>
    </w:p>
    <w:p>
      <w:pPr>
        <w:keepNext/>
        <w:spacing w:before="240" w:after="80"/>
      </w:pPr>
      <w:r>
        <w:rPr>
          <w:b/>
          <w:color w:val="008080"/>
          <w:sz w:val="24"/>
        </w:rPr>
        <w:t>4.1 Omni-Channel First Notice of Loss (FNOL) Intake</w:t>
      </w:r>
    </w:p>
    <w:p>
      <w:pPr>
        <w:pStyle w:val="ListBullet"/>
        <w:spacing w:before="0" w:after="60" w:line="276" w:lineRule="auto"/>
        <w:ind w:left="360"/>
      </w:pPr>
      <w:r>
        <w:rPr>
          <w:b/>
          <w:color w:val="333333"/>
        </w:rPr>
        <w:t xml:space="preserve">Context: </w:t>
      </w:r>
      <w:r>
        <w:rPr>
          <w:color w:val="333333"/>
        </w:rPr>
        <w:t>Policyholders reporting a loss require guidance, speed, and clear expectations.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1. Intake Channel: </w:t>
      </w:r>
      <w:r>
        <w:rPr>
          <w:color w:val="333333"/>
        </w:rPr>
        <w:t>Incident reported via Voice AI helpline, web form, or mobile chat.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2. Structured Capture: </w:t>
      </w:r>
      <w:r>
        <w:rPr>
          <w:color w:val="333333"/>
        </w:rPr>
        <w:t>Collects mandatory loss fields (Date/Time, Location, Incident Narrative, Vehicle/Property Details, Photos/Police Report).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3. Deductible vs. Loss Evaluation: </w:t>
      </w:r>
      <w:r>
        <w:rPr>
          <w:color w:val="333333"/>
        </w:rPr>
        <w:t>Advises the policyholder if the loss is below their deductible, preventing unnecessary claims history on their record.</w:t>
      </w:r>
    </w:p>
    <w:p>
      <w:pPr>
        <w:pStyle w:val="ListBullet"/>
        <w:spacing w:before="0" w:after="60" w:line="276" w:lineRule="auto"/>
        <w:ind w:left="720"/>
      </w:pPr>
      <w:r>
        <w:rPr>
          <w:b/>
          <w:color w:val="333333"/>
        </w:rPr>
        <w:t xml:space="preserve">4. Carrier Logging: </w:t>
      </w:r>
      <w:r>
        <w:rPr>
          <w:color w:val="333333"/>
        </w:rPr>
        <w:t>Generates an ACORD Loss Notice (e.g., ACORD 1 for Property, ACORD 2 for Auto) and pushes the payload into the carrier’s core claims platform via REST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B365D"/>
                <w:sz w:val="17"/>
              </w:rPr>
              <w:t xml:space="preserve">Client Incident Reported (Voice/Email/Chat) </w:t>
              <w:br/>
              <w:t xml:space="preserve">                   │</w:t>
              <w:br/>
              <w:t xml:space="preserve">                   ▼</w:t>
              <w:br/>
              <w:t xml:space="preserve"> AI Intent &amp; Loss Data Extraction (Photos, Police Report, VIN)</w:t>
              <w:br/>
              <w:t xml:space="preserve">                   │</w:t>
              <w:br/>
              <w:t xml:space="preserve">                   ▼</w:t>
              <w:br/>
              <w:t xml:space="preserve">  Coverage &amp; Deductible Verification Check</w:t>
              <w:br/>
              <w:t xml:space="preserve">                   │</w:t>
              <w:br/>
              <w:t xml:space="preserve">         ┌─────────┴─────────┐</w:t>
              <w:br/>
              <w:t xml:space="preserve">         ▼                   ▼</w:t>
              <w:br/>
              <w:t>Below Deductible      Exceeds Deductible</w:t>
              <w:br/>
              <w:t>(Advise Client)       (Generate ACORD 1/2 Loss Notice)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Push FNOL via REST API to Carrier Core System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B365D"/>
          <w:sz w:val="28"/>
        </w:rPr>
        <w:t>5. Summary Matrix of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Operational Module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Workflow / Feature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 Channels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System Output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Primary Business Value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Growth &amp; Sales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Instant Lead Deflection &amp; Qualification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Webhooks, SMS, Voice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Qualified Lead / Booked Call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Reduced Speed-to-Lead (&lt;30s)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Inward Submissions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ACORD Intake &amp; PDF Parser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Email Attachment, PDF Upload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JSON Payload / Form Auto-fill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80% reduction in manual data entry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Policy Servicing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COI &amp; Endorsement Automation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Chat, Email, Voice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Issued COI PDF / Updated Record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24/7 instant fulfillment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Retention Engine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Early Renewal Auto-Remarketing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AMS Data Query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Re-quoted Proposal Package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Reduced policyholder churn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MGA Underwriting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Bordereaux Aggregator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Internal Ledger Data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Carrier-Specific Reports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Automated regulatory compliance</w:t>
            </w:r>
          </w:p>
        </w:tc>
      </w:tr>
      <w:tr>
        <w:tc>
          <w:tcPr>
            <w:tcW w:type="dxa" w:w="1728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Claims (FNOL)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AI FNOL Triage &amp; Carrier API Handoff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Voice AI, Mobile Web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ACORD Loss Notice / Carrier FNOL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7"/>
              </w:rPr>
              <w:t>Improved CSAT &amp; rapid triage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