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650D4" w14:textId="72B12806" w:rsidR="004B0254" w:rsidRPr="00FB330A" w:rsidRDefault="00F91C75" w:rsidP="00FB330A">
      <w:pPr>
        <w:jc w:val="both"/>
        <w:rPr>
          <w:rFonts w:ascii="Times New Roman" w:hAnsi="Times New Roman" w:cs="Times New Roman"/>
          <w:b/>
        </w:rPr>
      </w:pPr>
      <w:r w:rsidRPr="00FB330A">
        <w:rPr>
          <w:rFonts w:ascii="Times New Roman" w:hAnsi="Times New Roman" w:cs="Times New Roman"/>
          <w:b/>
        </w:rPr>
        <w:t>Patient-Specific Thresholds</w:t>
      </w:r>
      <w:r w:rsidR="00E959C4">
        <w:rPr>
          <w:rFonts w:ascii="Times New Roman" w:hAnsi="Times New Roman" w:cs="Times New Roman"/>
          <w:b/>
        </w:rPr>
        <w:t xml:space="preserve"> and Doses of </w:t>
      </w:r>
      <w:r w:rsidRPr="00FB330A">
        <w:rPr>
          <w:rFonts w:ascii="Times New Roman" w:hAnsi="Times New Roman" w:cs="Times New Roman"/>
          <w:b/>
        </w:rPr>
        <w:t>Intracranial</w:t>
      </w:r>
      <w:r w:rsidR="00E959C4">
        <w:rPr>
          <w:rFonts w:ascii="Times New Roman" w:hAnsi="Times New Roman" w:cs="Times New Roman"/>
          <w:b/>
        </w:rPr>
        <w:t xml:space="preserve"> Hypertension in </w:t>
      </w:r>
      <w:r w:rsidRPr="00FB330A">
        <w:rPr>
          <w:rFonts w:ascii="Times New Roman" w:hAnsi="Times New Roman" w:cs="Times New Roman"/>
          <w:b/>
        </w:rPr>
        <w:t>Severe Traumatic Brain Injury</w:t>
      </w:r>
      <w:r w:rsidR="000E7E48">
        <w:rPr>
          <w:rFonts w:ascii="Times New Roman" w:hAnsi="Times New Roman" w:cs="Times New Roman"/>
          <w:b/>
        </w:rPr>
        <w:t>: The Role of Pressure Reactivity</w:t>
      </w:r>
    </w:p>
    <w:p w14:paraId="59A3BE14" w14:textId="6753A643" w:rsidR="00FB330A" w:rsidRDefault="00FB330A" w:rsidP="00FB330A">
      <w:pPr>
        <w:jc w:val="both"/>
        <w:rPr>
          <w:rFonts w:ascii="Times New Roman" w:hAnsi="Times New Roman" w:cs="Times New Roman"/>
          <w:b/>
        </w:rPr>
      </w:pPr>
    </w:p>
    <w:p w14:paraId="62112733" w14:textId="77777777" w:rsidR="00772B8F" w:rsidRDefault="00772B8F" w:rsidP="00FB330A">
      <w:pPr>
        <w:jc w:val="both"/>
        <w:rPr>
          <w:rFonts w:ascii="Times New Roman" w:hAnsi="Times New Roman" w:cs="Times New Roman"/>
          <w:b/>
        </w:rPr>
      </w:pPr>
    </w:p>
    <w:p w14:paraId="5574CEF7" w14:textId="7C3D742E" w:rsidR="00772B8F" w:rsidRPr="000D1177" w:rsidRDefault="00772B8F" w:rsidP="00FB330A">
      <w:pPr>
        <w:jc w:val="both"/>
        <w:rPr>
          <w:rFonts w:ascii="Times New Roman" w:hAnsi="Times New Roman" w:cs="Times New Roman"/>
        </w:rPr>
      </w:pPr>
      <w:r>
        <w:rPr>
          <w:rFonts w:ascii="Times New Roman" w:hAnsi="Times New Roman" w:cs="Times New Roman"/>
        </w:rPr>
        <w:t>Christos Lazaridis MD</w:t>
      </w:r>
      <w:r w:rsidR="000D1177">
        <w:rPr>
          <w:rFonts w:ascii="Times New Roman" w:hAnsi="Times New Roman" w:cs="Times New Roman"/>
        </w:rPr>
        <w:t>,</w:t>
      </w:r>
      <w:r w:rsidR="001E2AEB">
        <w:rPr>
          <w:rFonts w:ascii="Times New Roman" w:hAnsi="Times New Roman" w:cs="Times New Roman"/>
          <w:vertAlign w:val="superscript"/>
        </w:rPr>
        <w:t>1</w:t>
      </w:r>
      <w:r w:rsidR="00FA4A8D">
        <w:rPr>
          <w:rFonts w:ascii="Times New Roman" w:hAnsi="Times New Roman" w:cs="Times New Roman"/>
        </w:rPr>
        <w:t xml:space="preserve"> </w:t>
      </w:r>
      <w:r w:rsidR="00347755">
        <w:rPr>
          <w:rFonts w:ascii="Times New Roman" w:hAnsi="Times New Roman" w:cs="Times New Roman"/>
        </w:rPr>
        <w:t>Ming Yang MS,</w:t>
      </w:r>
      <w:r w:rsidR="00347755">
        <w:rPr>
          <w:rFonts w:ascii="Times New Roman" w:hAnsi="Times New Roman" w:cs="Times New Roman"/>
          <w:vertAlign w:val="superscript"/>
        </w:rPr>
        <w:t>2</w:t>
      </w:r>
      <w:r w:rsidR="00347755">
        <w:rPr>
          <w:rFonts w:ascii="Times New Roman" w:hAnsi="Times New Roman" w:cs="Times New Roman"/>
        </w:rPr>
        <w:t xml:space="preserve"> </w:t>
      </w:r>
      <w:r w:rsidRPr="000D1177">
        <w:rPr>
          <w:rFonts w:ascii="Times New Roman" w:hAnsi="Times New Roman" w:cs="Times New Roman"/>
        </w:rPr>
        <w:t>Peter</w:t>
      </w:r>
      <w:r>
        <w:rPr>
          <w:rFonts w:ascii="Times New Roman" w:hAnsi="Times New Roman" w:cs="Times New Roman"/>
        </w:rPr>
        <w:t xml:space="preserve"> Smielewski PhD</w:t>
      </w:r>
      <w:r w:rsidR="000D1177">
        <w:rPr>
          <w:rFonts w:ascii="Times New Roman" w:hAnsi="Times New Roman" w:cs="Times New Roman"/>
        </w:rPr>
        <w:t>,</w:t>
      </w:r>
      <w:r w:rsidR="00347755">
        <w:rPr>
          <w:rFonts w:ascii="Times New Roman" w:hAnsi="Times New Roman" w:cs="Times New Roman"/>
          <w:vertAlign w:val="superscript"/>
        </w:rPr>
        <w:t>3</w:t>
      </w:r>
      <w:r w:rsidR="000D1177">
        <w:rPr>
          <w:rFonts w:ascii="Times New Roman" w:hAnsi="Times New Roman" w:cs="Times New Roman"/>
        </w:rPr>
        <w:t xml:space="preserve"> </w:t>
      </w:r>
      <w:r>
        <w:rPr>
          <w:rFonts w:ascii="Times New Roman" w:hAnsi="Times New Roman" w:cs="Times New Roman"/>
        </w:rPr>
        <w:t xml:space="preserve">David K. Menon MD, PhD, </w:t>
      </w:r>
      <w:r w:rsidRPr="00772B8F">
        <w:rPr>
          <w:rFonts w:ascii="Times New Roman" w:hAnsi="Times New Roman" w:cs="Times New Roman"/>
        </w:rPr>
        <w:t>FMedSci</w:t>
      </w:r>
      <w:r w:rsidR="000D1177">
        <w:rPr>
          <w:rFonts w:ascii="Times New Roman" w:hAnsi="Times New Roman" w:cs="Times New Roman"/>
        </w:rPr>
        <w:t>,</w:t>
      </w:r>
      <w:r w:rsidR="00347755">
        <w:rPr>
          <w:rFonts w:ascii="Times New Roman" w:hAnsi="Times New Roman" w:cs="Times New Roman"/>
          <w:vertAlign w:val="superscript"/>
        </w:rPr>
        <w:t>4</w:t>
      </w:r>
      <w:r w:rsidR="005868AF">
        <w:rPr>
          <w:rFonts w:ascii="Times New Roman" w:hAnsi="Times New Roman" w:cs="Times New Roman"/>
        </w:rPr>
        <w:t xml:space="preserve"> </w:t>
      </w:r>
      <w:r>
        <w:rPr>
          <w:rFonts w:ascii="Times New Roman" w:hAnsi="Times New Roman" w:cs="Times New Roman"/>
        </w:rPr>
        <w:t xml:space="preserve">Peter Hutchinson </w:t>
      </w:r>
      <w:r w:rsidRPr="00772B8F">
        <w:rPr>
          <w:rFonts w:ascii="Times New Roman" w:hAnsi="Times New Roman" w:cs="Times New Roman"/>
          <w:color w:val="0A0A07"/>
        </w:rPr>
        <w:t>FRCS (SN), PhD</w:t>
      </w:r>
      <w:r w:rsidR="000D1177">
        <w:rPr>
          <w:rFonts w:ascii="Times New Roman" w:hAnsi="Times New Roman" w:cs="Times New Roman"/>
          <w:color w:val="0A0A07"/>
        </w:rPr>
        <w:t>,</w:t>
      </w:r>
      <w:r w:rsidR="00347755">
        <w:rPr>
          <w:rFonts w:ascii="Times New Roman" w:hAnsi="Times New Roman" w:cs="Times New Roman"/>
          <w:color w:val="0A0A07"/>
          <w:vertAlign w:val="superscript"/>
        </w:rPr>
        <w:t>3</w:t>
      </w:r>
      <w:r w:rsidR="000D1177">
        <w:rPr>
          <w:rFonts w:ascii="Times New Roman" w:hAnsi="Times New Roman" w:cs="Times New Roman"/>
          <w:color w:val="0A0A07"/>
        </w:rPr>
        <w:t xml:space="preserve"> </w:t>
      </w:r>
      <w:r>
        <w:rPr>
          <w:rFonts w:ascii="Times New Roman" w:hAnsi="Times New Roman" w:cs="Times New Roman"/>
        </w:rPr>
        <w:t xml:space="preserve">John D. Pickard </w:t>
      </w:r>
      <w:r w:rsidRPr="00772B8F">
        <w:rPr>
          <w:rFonts w:ascii="Times New Roman" w:hAnsi="Times New Roman" w:cs="Times New Roman"/>
          <w:color w:val="0A0A07"/>
        </w:rPr>
        <w:t>FRCS, MChir, FMedSci</w:t>
      </w:r>
      <w:r w:rsidR="000D1177">
        <w:rPr>
          <w:rFonts w:ascii="Times New Roman" w:hAnsi="Times New Roman" w:cs="Times New Roman"/>
          <w:color w:val="0A0A07"/>
        </w:rPr>
        <w:t>,</w:t>
      </w:r>
      <w:r w:rsidR="00347755">
        <w:rPr>
          <w:rFonts w:ascii="Times New Roman" w:hAnsi="Times New Roman" w:cs="Times New Roman"/>
          <w:color w:val="0A0A07"/>
          <w:vertAlign w:val="superscript"/>
        </w:rPr>
        <w:t>3</w:t>
      </w:r>
      <w:r w:rsidR="000D1177">
        <w:rPr>
          <w:rFonts w:ascii="Times New Roman" w:hAnsi="Times New Roman" w:cs="Times New Roman"/>
          <w:color w:val="0A0A07"/>
          <w:sz w:val="20"/>
          <w:szCs w:val="20"/>
          <w:vertAlign w:val="superscript"/>
        </w:rPr>
        <w:t xml:space="preserve"> </w:t>
      </w:r>
      <w:r>
        <w:rPr>
          <w:rFonts w:ascii="Times New Roman" w:hAnsi="Times New Roman" w:cs="Times New Roman"/>
        </w:rPr>
        <w:t>Marek Czosnyka PhD</w:t>
      </w:r>
      <w:r w:rsidR="00347755">
        <w:rPr>
          <w:rFonts w:ascii="Times New Roman" w:hAnsi="Times New Roman" w:cs="Times New Roman"/>
          <w:vertAlign w:val="superscript"/>
        </w:rPr>
        <w:t>3</w:t>
      </w:r>
    </w:p>
    <w:p w14:paraId="3EBCCA3C" w14:textId="77777777" w:rsidR="00772B8F" w:rsidRDefault="00772B8F" w:rsidP="00FB330A">
      <w:pPr>
        <w:jc w:val="both"/>
        <w:rPr>
          <w:rFonts w:ascii="Times New Roman" w:hAnsi="Times New Roman" w:cs="Times New Roman"/>
          <w:b/>
        </w:rPr>
      </w:pPr>
    </w:p>
    <w:p w14:paraId="2EBD39D2" w14:textId="77777777" w:rsidR="00772B8F" w:rsidRDefault="00772B8F" w:rsidP="00FB330A">
      <w:pPr>
        <w:jc w:val="both"/>
        <w:rPr>
          <w:rFonts w:ascii="Times New Roman" w:hAnsi="Times New Roman" w:cs="Times New Roman"/>
          <w:b/>
        </w:rPr>
      </w:pPr>
    </w:p>
    <w:p w14:paraId="6F34DBFB" w14:textId="6A7EAFEE" w:rsidR="00347755" w:rsidRPr="005868AF" w:rsidRDefault="00753163" w:rsidP="00347755">
      <w:pPr>
        <w:pStyle w:val="ListParagraph"/>
        <w:numPr>
          <w:ilvl w:val="0"/>
          <w:numId w:val="5"/>
        </w:numPr>
        <w:jc w:val="both"/>
        <w:rPr>
          <w:rFonts w:ascii="Times New Roman" w:hAnsi="Times New Roman" w:cs="Times New Roman"/>
        </w:rPr>
      </w:pPr>
      <w:r>
        <w:rPr>
          <w:rFonts w:ascii="Times New Roman" w:hAnsi="Times New Roman" w:cs="Times New Roman"/>
        </w:rPr>
        <w:t>Division</w:t>
      </w:r>
      <w:r w:rsidR="00347755" w:rsidRPr="006D5498">
        <w:rPr>
          <w:rFonts w:ascii="Times New Roman" w:hAnsi="Times New Roman" w:cs="Times New Roman"/>
        </w:rPr>
        <w:t xml:space="preserve"> of Neurocrit</w:t>
      </w:r>
      <w:r w:rsidR="003979F8">
        <w:rPr>
          <w:rFonts w:ascii="Times New Roman" w:hAnsi="Times New Roman" w:cs="Times New Roman"/>
        </w:rPr>
        <w:t>ical Care</w:t>
      </w:r>
      <w:r w:rsidR="00347755" w:rsidRPr="006D5498">
        <w:rPr>
          <w:rFonts w:ascii="Times New Roman" w:hAnsi="Times New Roman" w:cs="Times New Roman"/>
        </w:rPr>
        <w:t>, Baylor College of Medicine</w:t>
      </w:r>
      <w:r w:rsidR="00347755">
        <w:rPr>
          <w:rFonts w:ascii="Times New Roman" w:hAnsi="Times New Roman" w:cs="Times New Roman"/>
        </w:rPr>
        <w:t>, Houston, TX, USA</w:t>
      </w:r>
    </w:p>
    <w:p w14:paraId="1A2DEEF5" w14:textId="75EC1EAA" w:rsidR="00347755" w:rsidRDefault="00F129CC" w:rsidP="005868AF">
      <w:pPr>
        <w:pStyle w:val="ListParagraph"/>
        <w:numPr>
          <w:ilvl w:val="0"/>
          <w:numId w:val="5"/>
        </w:numPr>
        <w:jc w:val="both"/>
        <w:rPr>
          <w:rFonts w:ascii="Times New Roman" w:hAnsi="Times New Roman" w:cs="Times New Roman"/>
        </w:rPr>
      </w:pPr>
      <w:r>
        <w:rPr>
          <w:rFonts w:ascii="Times New Roman" w:hAnsi="Times New Roman" w:cs="Times New Roman"/>
        </w:rPr>
        <w:t>Division of Biostatistics, School of Public Health, University of Texas, Houston, TX, USA</w:t>
      </w:r>
    </w:p>
    <w:p w14:paraId="574C47FB" w14:textId="34DD3F11" w:rsidR="000D1177" w:rsidRDefault="001E2AEB" w:rsidP="005868AF">
      <w:pPr>
        <w:pStyle w:val="ListParagraph"/>
        <w:numPr>
          <w:ilvl w:val="0"/>
          <w:numId w:val="5"/>
        </w:numPr>
        <w:jc w:val="both"/>
        <w:rPr>
          <w:rFonts w:ascii="Times New Roman" w:hAnsi="Times New Roman" w:cs="Times New Roman"/>
        </w:rPr>
      </w:pPr>
      <w:r w:rsidRPr="001E2AEB">
        <w:rPr>
          <w:rFonts w:ascii="Times New Roman" w:hAnsi="Times New Roman" w:cs="Times New Roman"/>
        </w:rPr>
        <w:t>Academic Neurosurgical Unit, University of Cambridge Clinical School, Cambridge, UK</w:t>
      </w:r>
    </w:p>
    <w:p w14:paraId="5D4C168E" w14:textId="13B4CDBE" w:rsidR="002D488C" w:rsidRPr="00FA4A8D" w:rsidRDefault="002D488C" w:rsidP="00FA4A8D">
      <w:pPr>
        <w:pStyle w:val="ListParagraph"/>
        <w:numPr>
          <w:ilvl w:val="0"/>
          <w:numId w:val="5"/>
        </w:numPr>
        <w:jc w:val="both"/>
        <w:rPr>
          <w:rFonts w:ascii="Times New Roman" w:hAnsi="Times New Roman" w:cs="Times New Roman"/>
          <w:b/>
        </w:rPr>
      </w:pPr>
      <w:r w:rsidRPr="00FA4A8D">
        <w:rPr>
          <w:rFonts w:ascii="Times New Roman" w:hAnsi="Times New Roman" w:cs="Times New Roman"/>
          <w:color w:val="1A1818"/>
        </w:rPr>
        <w:t>University Department of Anaesthesia, Addenbrooke’s Hospital, University of Cambridge, Cambridge, UK</w:t>
      </w:r>
    </w:p>
    <w:p w14:paraId="0BDD8207" w14:textId="77777777" w:rsidR="00772B8F" w:rsidRDefault="00772B8F" w:rsidP="00FB330A">
      <w:pPr>
        <w:jc w:val="both"/>
        <w:rPr>
          <w:rFonts w:ascii="Times New Roman" w:hAnsi="Times New Roman" w:cs="Times New Roman"/>
          <w:b/>
        </w:rPr>
      </w:pPr>
    </w:p>
    <w:p w14:paraId="4BD1F8F8" w14:textId="77777777" w:rsidR="00772B8F" w:rsidRDefault="00772B8F" w:rsidP="00FB330A">
      <w:pPr>
        <w:jc w:val="both"/>
        <w:rPr>
          <w:rFonts w:ascii="Times New Roman" w:hAnsi="Times New Roman" w:cs="Times New Roman"/>
          <w:b/>
        </w:rPr>
      </w:pPr>
    </w:p>
    <w:p w14:paraId="09A254D7" w14:textId="77777777" w:rsidR="0022685D" w:rsidRDefault="00954674" w:rsidP="005C4D56">
      <w:pPr>
        <w:jc w:val="both"/>
        <w:rPr>
          <w:rFonts w:ascii="Times New Roman" w:hAnsi="Times New Roman" w:cs="Times New Roman"/>
        </w:rPr>
      </w:pPr>
      <w:r w:rsidRPr="00D044B6">
        <w:rPr>
          <w:rFonts w:ascii="Times New Roman" w:hAnsi="Times New Roman" w:cs="Times New Roman"/>
        </w:rPr>
        <w:t xml:space="preserve">Corresponding Author: </w:t>
      </w:r>
      <w:r w:rsidRPr="005C4D56">
        <w:rPr>
          <w:rFonts w:ascii="Times New Roman" w:hAnsi="Times New Roman" w:cs="Times New Roman"/>
        </w:rPr>
        <w:t>Christos Lazaridis M.D.</w:t>
      </w:r>
      <w:r w:rsidRPr="00D044B6">
        <w:rPr>
          <w:rFonts w:ascii="Times New Roman" w:hAnsi="Times New Roman" w:cs="Times New Roman"/>
        </w:rPr>
        <w:t xml:space="preserve"> </w:t>
      </w:r>
    </w:p>
    <w:p w14:paraId="4E433D9E" w14:textId="77777777" w:rsidR="00134CE9" w:rsidRPr="006D5498" w:rsidRDefault="00134CE9" w:rsidP="005C4D56">
      <w:pPr>
        <w:widowControl w:val="0"/>
        <w:autoSpaceDE w:val="0"/>
        <w:autoSpaceDN w:val="0"/>
        <w:adjustRightInd w:val="0"/>
        <w:jc w:val="both"/>
        <w:rPr>
          <w:rFonts w:ascii="Times New Roman" w:hAnsi="Times New Roman" w:cs="Times New Roman"/>
        </w:rPr>
      </w:pPr>
      <w:r w:rsidRPr="006D5498">
        <w:rPr>
          <w:rFonts w:ascii="Times New Roman" w:hAnsi="Times New Roman" w:cs="Times New Roman"/>
        </w:rPr>
        <w:t>Department of Neurology, Divisions of Neurocritical Care and Vascular Neurology, Baylor College of Medicine, 6501 Fannin Street, MS: NB320, Houston, TX 77030, USA</w:t>
      </w:r>
    </w:p>
    <w:p w14:paraId="0E8AFFBF" w14:textId="6D03F067" w:rsidR="0022685D" w:rsidRPr="0080320F" w:rsidRDefault="0022685D" w:rsidP="005C4D56">
      <w:pPr>
        <w:jc w:val="both"/>
        <w:rPr>
          <w:rFonts w:ascii="Times New Roman" w:hAnsi="Times New Roman" w:cs="Times New Roman"/>
        </w:rPr>
      </w:pPr>
      <w:r>
        <w:rPr>
          <w:rFonts w:ascii="Times New Roman" w:hAnsi="Times New Roman" w:cs="Times New Roman"/>
        </w:rPr>
        <w:t xml:space="preserve">Phone: </w:t>
      </w:r>
      <w:r w:rsidRPr="0080320F">
        <w:rPr>
          <w:rFonts w:ascii="Times New Roman" w:hAnsi="Times New Roman" w:cs="Times New Roman"/>
        </w:rPr>
        <w:t>(469)878-9852</w:t>
      </w:r>
    </w:p>
    <w:p w14:paraId="0581F977" w14:textId="5E5ABF16" w:rsidR="0022685D" w:rsidRPr="0080320F" w:rsidRDefault="00AA4B5A" w:rsidP="005C4D56">
      <w:pPr>
        <w:jc w:val="both"/>
        <w:rPr>
          <w:rFonts w:ascii="Times New Roman" w:hAnsi="Times New Roman" w:cs="Times New Roman"/>
        </w:rPr>
      </w:pPr>
      <w:r>
        <w:rPr>
          <w:rFonts w:ascii="Times New Roman" w:hAnsi="Times New Roman" w:cs="Times New Roman"/>
        </w:rPr>
        <w:t>lazaridi@bcm.edu</w:t>
      </w:r>
    </w:p>
    <w:p w14:paraId="3A5BA5E6" w14:textId="5B0A9139" w:rsidR="00954674" w:rsidRDefault="00954674" w:rsidP="00FB330A">
      <w:pPr>
        <w:jc w:val="both"/>
        <w:rPr>
          <w:rFonts w:ascii="Times New Roman" w:hAnsi="Times New Roman" w:cs="Times New Roman"/>
        </w:rPr>
      </w:pPr>
    </w:p>
    <w:p w14:paraId="68F849BC" w14:textId="77777777" w:rsidR="00954674" w:rsidRDefault="00954674" w:rsidP="00FB330A">
      <w:pPr>
        <w:jc w:val="both"/>
        <w:rPr>
          <w:rFonts w:ascii="Times New Roman" w:hAnsi="Times New Roman" w:cs="Times New Roman"/>
        </w:rPr>
      </w:pPr>
    </w:p>
    <w:p w14:paraId="5D37AC08" w14:textId="58876FA1" w:rsidR="00C72E95" w:rsidRPr="00E25B23" w:rsidRDefault="00954674" w:rsidP="00C72E95">
      <w:pPr>
        <w:jc w:val="both"/>
        <w:rPr>
          <w:rFonts w:ascii="Times New Roman" w:hAnsi="Times New Roman" w:cs="Times New Roman"/>
        </w:rPr>
      </w:pPr>
      <w:r>
        <w:rPr>
          <w:rFonts w:ascii="Times New Roman" w:hAnsi="Times New Roman" w:cs="Times New Roman"/>
        </w:rPr>
        <w:t>This work was performed in the Academic Neurosurgical Unit and the Neurosciences Critical Care Unit of Addenbrooke’s Hospital, University of Cambridge, Cambridge, UK</w:t>
      </w:r>
      <w:r w:rsidR="00C72E95">
        <w:rPr>
          <w:rFonts w:ascii="Times New Roman" w:hAnsi="Times New Roman" w:cs="Times New Roman"/>
        </w:rPr>
        <w:t xml:space="preserve">. </w:t>
      </w:r>
      <w:r w:rsidR="00C72E95" w:rsidRPr="00E25B23">
        <w:rPr>
          <w:rFonts w:ascii="Times New Roman" w:hAnsi="Times New Roman" w:cs="Times New Roman"/>
        </w:rPr>
        <w:t>This manuscript has not been previously published i</w:t>
      </w:r>
      <w:r w:rsidR="00C72E95">
        <w:rPr>
          <w:rFonts w:ascii="Times New Roman" w:hAnsi="Times New Roman" w:cs="Times New Roman"/>
        </w:rPr>
        <w:t>n whole or in part or submitted elsewhere for review.</w:t>
      </w:r>
    </w:p>
    <w:p w14:paraId="352AEACC" w14:textId="77777777" w:rsidR="005C4D56" w:rsidRDefault="005C4D56" w:rsidP="005C4D56">
      <w:pPr>
        <w:widowControl w:val="0"/>
        <w:autoSpaceDE w:val="0"/>
        <w:autoSpaceDN w:val="0"/>
        <w:adjustRightInd w:val="0"/>
        <w:spacing w:after="240"/>
        <w:rPr>
          <w:rFonts w:ascii="Times New Roman" w:hAnsi="Times New Roman" w:cs="Times New Roman"/>
          <w:b/>
        </w:rPr>
      </w:pPr>
    </w:p>
    <w:p w14:paraId="7EFA6A33" w14:textId="75E630BA" w:rsidR="00D975DD" w:rsidRDefault="005C4D56" w:rsidP="00820288">
      <w:pPr>
        <w:widowControl w:val="0"/>
        <w:autoSpaceDE w:val="0"/>
        <w:autoSpaceDN w:val="0"/>
        <w:adjustRightInd w:val="0"/>
        <w:spacing w:after="240"/>
        <w:jc w:val="both"/>
        <w:rPr>
          <w:rFonts w:ascii="Times New Roman" w:hAnsi="Times New Roman" w:cs="Times New Roman"/>
        </w:rPr>
      </w:pPr>
      <w:r w:rsidRPr="00863152">
        <w:rPr>
          <w:rFonts w:ascii="Times New Roman" w:hAnsi="Times New Roman" w:cs="Times New Roman"/>
          <w:b/>
        </w:rPr>
        <w:t>Conflicts of Interest and Source of Funding:</w:t>
      </w:r>
      <w:r>
        <w:rPr>
          <w:rFonts w:ascii="Times New Roman" w:hAnsi="Times New Roman" w:cs="Times New Roman"/>
        </w:rPr>
        <w:t xml:space="preserve"> </w:t>
      </w:r>
      <w:r w:rsidRPr="002F741E">
        <w:rPr>
          <w:rFonts w:ascii="Times New Roman" w:hAnsi="Times New Roman" w:cs="Times New Roman"/>
        </w:rPr>
        <w:t xml:space="preserve">The software for brain monitoring ICM+ (http:// www.neurosurg.cam.ac.uk/icmplus) is licensed by the University of Cambridge (Cambridge Enterprise). Mr. Czosnyka and Mr. Smielewski have a financial interest </w:t>
      </w:r>
      <w:r>
        <w:rPr>
          <w:rFonts w:ascii="Times New Roman" w:hAnsi="Times New Roman" w:cs="Times New Roman"/>
        </w:rPr>
        <w:t xml:space="preserve">in a part of the licensing fee. </w:t>
      </w:r>
      <w:r w:rsidRPr="002F741E">
        <w:rPr>
          <w:rFonts w:ascii="Times New Roman" w:hAnsi="Times New Roman" w:cs="Times New Roman"/>
        </w:rPr>
        <w:t>Mr. Hutchinson is supported by an Academy of Medical Sciences/Health Foundation Senior Scientist Fellowship and grants from the Medical Research Council/NIHR. Mr. Menon is supported by funding from the Medical Research Council, the NIHR Cambridge Biomedical Centre, and an NIHR Senior Investigator award. Mr. Pickard is a NIHR senior investigator awardee and a principal investigator within the NIHR Biomedical Research Centre (Cambridge University Hospital Foundation Trust) and lead principal investigator for the Medical Research Council “Acute Brain Injury Programme” grant.</w:t>
      </w:r>
      <w:r>
        <w:rPr>
          <w:rFonts w:ascii="Times New Roman" w:hAnsi="Times New Roman" w:cs="Times New Roman"/>
        </w:rPr>
        <w:t xml:space="preserve"> Dr. Lazaridis and Mr. Yang </w:t>
      </w:r>
      <w:r w:rsidRPr="002F741E">
        <w:rPr>
          <w:rFonts w:ascii="Times New Roman" w:hAnsi="Times New Roman" w:cs="Times New Roman"/>
        </w:rPr>
        <w:t>have not disclosed any potential conflict of interest.</w:t>
      </w:r>
    </w:p>
    <w:p w14:paraId="1AE84A15" w14:textId="77777777" w:rsidR="00820288" w:rsidRPr="00820288" w:rsidRDefault="00820288" w:rsidP="00820288">
      <w:pPr>
        <w:widowControl w:val="0"/>
        <w:autoSpaceDE w:val="0"/>
        <w:autoSpaceDN w:val="0"/>
        <w:adjustRightInd w:val="0"/>
        <w:spacing w:after="240"/>
        <w:jc w:val="both"/>
        <w:rPr>
          <w:rFonts w:ascii="Times New Roman" w:hAnsi="Times New Roman" w:cs="Times New Roman"/>
        </w:rPr>
      </w:pPr>
    </w:p>
    <w:p w14:paraId="44883DD9" w14:textId="1BBB14AA" w:rsidR="00820288" w:rsidRDefault="00820288" w:rsidP="00820288">
      <w:pPr>
        <w:spacing w:line="480" w:lineRule="auto"/>
        <w:jc w:val="both"/>
        <w:rPr>
          <w:rFonts w:ascii="Times New Roman" w:hAnsi="Times New Roman" w:cs="Times New Roman"/>
        </w:rPr>
      </w:pPr>
      <w:r>
        <w:rPr>
          <w:rFonts w:ascii="Times New Roman" w:hAnsi="Times New Roman" w:cs="Times New Roman"/>
          <w:b/>
          <w:bCs/>
          <w:iCs/>
        </w:rPr>
        <w:lastRenderedPageBreak/>
        <w:t xml:space="preserve">Introduction: </w:t>
      </w:r>
      <w:r w:rsidR="00FB330A" w:rsidRPr="00FB330A">
        <w:rPr>
          <w:rFonts w:ascii="Times New Roman" w:hAnsi="Times New Roman" w:cs="Times New Roman"/>
        </w:rPr>
        <w:t>Based on continuous monitoring of the pressure reactivity index (PRx) we defined individualized intracranial pressure (ICP) thresholds by graphing the relationship between ICP and PRx. We hypothesized that an “ICP dose” based on</w:t>
      </w:r>
      <w:r w:rsidR="00C67007">
        <w:rPr>
          <w:rFonts w:ascii="Times New Roman" w:hAnsi="Times New Roman" w:cs="Times New Roman"/>
        </w:rPr>
        <w:t xml:space="preserve"> individually assessed ICP-threshold</w:t>
      </w:r>
      <w:r w:rsidR="00747D3D">
        <w:rPr>
          <w:rFonts w:ascii="Times New Roman" w:hAnsi="Times New Roman" w:cs="Times New Roman"/>
        </w:rPr>
        <w:t>s</w:t>
      </w:r>
      <w:r w:rsidR="00C67007">
        <w:rPr>
          <w:rFonts w:ascii="Times New Roman" w:hAnsi="Times New Roman" w:cs="Times New Roman"/>
        </w:rPr>
        <w:t xml:space="preserve"> </w:t>
      </w:r>
      <w:r w:rsidR="00FB330A" w:rsidRPr="00FB330A">
        <w:rPr>
          <w:rFonts w:ascii="Times New Roman" w:hAnsi="Times New Roman" w:cs="Times New Roman"/>
        </w:rPr>
        <w:t>would correlate closer with 6-month outcome when compared to ICP doses derived by the recommended universal thresholds of 20 and 25 mm Hg.</w:t>
      </w:r>
      <w:r w:rsidR="00BA1282">
        <w:rPr>
          <w:rFonts w:ascii="Times New Roman" w:hAnsi="Times New Roman" w:cs="Times New Roman"/>
        </w:rPr>
        <w:t xml:space="preserve"> </w:t>
      </w:r>
      <w:r>
        <w:rPr>
          <w:rFonts w:ascii="Times New Roman" w:hAnsi="Times New Roman" w:cs="Times New Roman"/>
          <w:b/>
        </w:rPr>
        <w:t xml:space="preserve">Methods: </w:t>
      </w:r>
      <w:r w:rsidR="00BA1282">
        <w:rPr>
          <w:rFonts w:ascii="Times New Roman" w:hAnsi="Times New Roman" w:cs="Times New Roman"/>
        </w:rPr>
        <w:t>D</w:t>
      </w:r>
      <w:r w:rsidR="00CA152B">
        <w:rPr>
          <w:rFonts w:ascii="Times New Roman" w:hAnsi="Times New Roman" w:cs="Times New Roman"/>
        </w:rPr>
        <w:t>ata</w:t>
      </w:r>
      <w:r w:rsidR="00BA1282">
        <w:rPr>
          <w:rFonts w:ascii="Times New Roman" w:hAnsi="Times New Roman" w:cs="Times New Roman"/>
        </w:rPr>
        <w:t xml:space="preserve"> from </w:t>
      </w:r>
      <w:r w:rsidR="00FB330A" w:rsidRPr="00FB330A">
        <w:rPr>
          <w:rFonts w:ascii="Times New Roman" w:hAnsi="Times New Roman" w:cs="Times New Roman"/>
          <w:bCs/>
        </w:rPr>
        <w:t>327 severe traumatic brain injury (TBI) patients</w:t>
      </w:r>
      <w:r w:rsidR="00BA1282">
        <w:rPr>
          <w:rFonts w:ascii="Times New Roman" w:hAnsi="Times New Roman" w:cs="Times New Roman"/>
          <w:bCs/>
        </w:rPr>
        <w:t xml:space="preserve"> were analyzed</w:t>
      </w:r>
      <w:r w:rsidR="00FB330A" w:rsidRPr="00FB330A">
        <w:rPr>
          <w:rFonts w:ascii="Times New Roman" w:hAnsi="Times New Roman" w:cs="Times New Roman"/>
          <w:bCs/>
        </w:rPr>
        <w:t>.</w:t>
      </w:r>
      <w:r w:rsidR="00BA1282">
        <w:rPr>
          <w:rFonts w:ascii="Times New Roman" w:hAnsi="Times New Roman" w:cs="Times New Roman"/>
          <w:bCs/>
          <w:i/>
          <w:iCs/>
        </w:rPr>
        <w:t xml:space="preserve"> </w:t>
      </w:r>
      <w:r w:rsidR="0034569D" w:rsidRPr="00356AC5">
        <w:rPr>
          <w:rFonts w:ascii="Times New Roman" w:hAnsi="Times New Roman" w:cs="Times New Roman"/>
        </w:rPr>
        <w:t>Intracranial pressure</w:t>
      </w:r>
      <w:r w:rsidR="009435B9" w:rsidRPr="00356AC5">
        <w:rPr>
          <w:rFonts w:ascii="Times New Roman" w:hAnsi="Times New Roman" w:cs="Times New Roman"/>
        </w:rPr>
        <w:t xml:space="preserve"> doses</w:t>
      </w:r>
      <w:r w:rsidR="00BA1282">
        <w:rPr>
          <w:rFonts w:ascii="Times New Roman" w:hAnsi="Times New Roman" w:cs="Times New Roman"/>
        </w:rPr>
        <w:t xml:space="preserve"> were</w:t>
      </w:r>
      <w:r w:rsidR="00FB330A" w:rsidRPr="00356AC5">
        <w:rPr>
          <w:rFonts w:ascii="Times New Roman" w:hAnsi="Times New Roman" w:cs="Times New Roman"/>
        </w:rPr>
        <w:t xml:space="preserve"> computed as the cumu</w:t>
      </w:r>
      <w:r w:rsidR="00356AC5">
        <w:rPr>
          <w:rFonts w:ascii="Times New Roman" w:hAnsi="Times New Roman" w:cs="Times New Roman"/>
        </w:rPr>
        <w:t>lative area under the curve</w:t>
      </w:r>
      <w:r w:rsidR="00FB330A" w:rsidRPr="00356AC5">
        <w:rPr>
          <w:rFonts w:ascii="Times New Roman" w:hAnsi="Times New Roman" w:cs="Times New Roman"/>
        </w:rPr>
        <w:t xml:space="preserve"> above the defined thresholds in graphing ICP versus time.</w:t>
      </w:r>
      <w:r w:rsidR="00FB330A" w:rsidRPr="00FB330A">
        <w:rPr>
          <w:rFonts w:ascii="Times New Roman" w:hAnsi="Times New Roman" w:cs="Times New Roman"/>
        </w:rPr>
        <w:t xml:space="preserve"> </w:t>
      </w:r>
      <w:r w:rsidR="00747D3D">
        <w:rPr>
          <w:rFonts w:ascii="Times New Roman" w:hAnsi="Times New Roman" w:cs="Times New Roman"/>
        </w:rPr>
        <w:t>The term</w:t>
      </w:r>
      <w:r w:rsidR="00601E98">
        <w:rPr>
          <w:rFonts w:ascii="Times New Roman" w:hAnsi="Times New Roman" w:cs="Times New Roman"/>
        </w:rPr>
        <w:t xml:space="preserve"> Dose</w:t>
      </w:r>
      <w:r w:rsidR="0034569D">
        <w:rPr>
          <w:rFonts w:ascii="Times New Roman" w:hAnsi="Times New Roman" w:cs="Times New Roman"/>
        </w:rPr>
        <w:t xml:space="preserve"> </w:t>
      </w:r>
      <w:r w:rsidR="00356AC5">
        <w:rPr>
          <w:rFonts w:ascii="Times New Roman" w:hAnsi="Times New Roman" w:cs="Times New Roman"/>
        </w:rPr>
        <w:t>20 (D20) was</w:t>
      </w:r>
      <w:r w:rsidR="00601E98">
        <w:rPr>
          <w:rFonts w:ascii="Times New Roman" w:hAnsi="Times New Roman" w:cs="Times New Roman"/>
        </w:rPr>
        <w:t xml:space="preserve"> used to refer to</w:t>
      </w:r>
      <w:r w:rsidR="00601E98" w:rsidRPr="00FB330A">
        <w:rPr>
          <w:rFonts w:ascii="Times New Roman" w:hAnsi="Times New Roman" w:cs="Times New Roman"/>
        </w:rPr>
        <w:t xml:space="preserve"> an ICP threshold of 20 mm Hg</w:t>
      </w:r>
      <w:r w:rsidR="00821F87">
        <w:rPr>
          <w:rFonts w:ascii="Times New Roman" w:hAnsi="Times New Roman" w:cs="Times New Roman"/>
        </w:rPr>
        <w:t>. The marker</w:t>
      </w:r>
      <w:r w:rsidR="00601E98">
        <w:rPr>
          <w:rFonts w:ascii="Times New Roman" w:hAnsi="Times New Roman" w:cs="Times New Roman"/>
        </w:rPr>
        <w:t xml:space="preserve"> D25 and DPRx were calculated similarly</w:t>
      </w:r>
      <w:r w:rsidR="00601E98" w:rsidRPr="00FB330A">
        <w:rPr>
          <w:rFonts w:ascii="Times New Roman" w:hAnsi="Times New Roman" w:cs="Times New Roman"/>
        </w:rPr>
        <w:t>.</w:t>
      </w:r>
      <w:r w:rsidR="00BA1282">
        <w:rPr>
          <w:rFonts w:ascii="Times New Roman" w:hAnsi="Times New Roman" w:cs="Times New Roman"/>
        </w:rPr>
        <w:t xml:space="preserve"> </w:t>
      </w:r>
      <w:r w:rsidR="00601E98" w:rsidRPr="00FB330A">
        <w:rPr>
          <w:rFonts w:ascii="Times New Roman" w:hAnsi="Times New Roman" w:cs="Times New Roman"/>
        </w:rPr>
        <w:t xml:space="preserve">The </w:t>
      </w:r>
      <w:r w:rsidR="00601E98">
        <w:rPr>
          <w:rFonts w:ascii="Times New Roman" w:hAnsi="Times New Roman" w:cs="Times New Roman"/>
        </w:rPr>
        <w:t>discriminative</w:t>
      </w:r>
      <w:r w:rsidR="00601E98" w:rsidRPr="00FB330A">
        <w:rPr>
          <w:rFonts w:ascii="Times New Roman" w:hAnsi="Times New Roman" w:cs="Times New Roman"/>
        </w:rPr>
        <w:t xml:space="preserve"> ability of </w:t>
      </w:r>
      <w:r w:rsidR="00601E98">
        <w:rPr>
          <w:rFonts w:ascii="Times New Roman" w:hAnsi="Times New Roman" w:cs="Times New Roman"/>
        </w:rPr>
        <w:t xml:space="preserve">each </w:t>
      </w:r>
      <w:r w:rsidR="00601E98" w:rsidRPr="00FB330A">
        <w:rPr>
          <w:rFonts w:ascii="Times New Roman" w:hAnsi="Times New Roman" w:cs="Times New Roman"/>
        </w:rPr>
        <w:t>dose on mortality was assessed by</w:t>
      </w:r>
      <w:r w:rsidR="00CA152B">
        <w:rPr>
          <w:rFonts w:ascii="Times New Roman" w:hAnsi="Times New Roman" w:cs="Times New Roman"/>
        </w:rPr>
        <w:t xml:space="preserve"> ROC </w:t>
      </w:r>
      <w:r w:rsidR="00601E98" w:rsidRPr="00FB330A">
        <w:rPr>
          <w:rFonts w:ascii="Times New Roman" w:hAnsi="Times New Roman" w:cs="Times New Roman"/>
        </w:rPr>
        <w:t xml:space="preserve">analysis </w:t>
      </w:r>
      <w:r w:rsidR="00601E98">
        <w:rPr>
          <w:rFonts w:ascii="Times New Roman" w:hAnsi="Times New Roman" w:cs="Times New Roman"/>
        </w:rPr>
        <w:t>using</w:t>
      </w:r>
      <w:r>
        <w:rPr>
          <w:rFonts w:ascii="Times New Roman" w:hAnsi="Times New Roman" w:cs="Times New Roman"/>
        </w:rPr>
        <w:t xml:space="preserve"> 5-fold cross validation (CV).</w:t>
      </w:r>
    </w:p>
    <w:p w14:paraId="030DE029" w14:textId="66F13820" w:rsidR="00CE70BD" w:rsidRDefault="00B85AC6" w:rsidP="00820288">
      <w:pPr>
        <w:spacing w:line="480" w:lineRule="auto"/>
        <w:jc w:val="both"/>
        <w:rPr>
          <w:rFonts w:ascii="Times New Roman" w:hAnsi="Times New Roman" w:cs="Times New Roman"/>
          <w:b/>
        </w:rPr>
      </w:pPr>
      <w:r>
        <w:rPr>
          <w:rFonts w:ascii="Times New Roman" w:hAnsi="Times New Roman" w:cs="Times New Roman"/>
          <w:b/>
        </w:rPr>
        <w:t xml:space="preserve">Results: </w:t>
      </w:r>
      <w:r w:rsidR="00CE70BD" w:rsidRPr="00A06D79">
        <w:rPr>
          <w:rFonts w:ascii="Times New Roman" w:hAnsi="Times New Roman" w:cs="Times New Roman"/>
        </w:rPr>
        <w:t>Mean D20 was 1055 mm Hg*hour versus 478 mm Hg*hour for DPRx (p &lt; 0.0001).</w:t>
      </w:r>
      <w:r w:rsidR="00375A07">
        <w:rPr>
          <w:rFonts w:ascii="Times New Roman" w:hAnsi="Times New Roman" w:cs="Times New Roman"/>
        </w:rPr>
        <w:t xml:space="preserve"> Despite been half the dose, DPRx was </w:t>
      </w:r>
      <w:r w:rsidR="00375A07" w:rsidRPr="00A06D79">
        <w:rPr>
          <w:rFonts w:ascii="Times New Roman" w:hAnsi="Times New Roman" w:cs="Times New Roman"/>
        </w:rPr>
        <w:t>the best predictor of mortality [DPRx AUC 0.77 (95% CI 0.68-0.89), D20 0.72 (95% CI 0.66-0.81) and D25 0.65 (95% CI 0.56-0.73)].</w:t>
      </w:r>
    </w:p>
    <w:p w14:paraId="651BC701" w14:textId="1C218803" w:rsidR="00FB330A" w:rsidRPr="00CE70BD" w:rsidRDefault="00820288" w:rsidP="00CE70BD">
      <w:pPr>
        <w:spacing w:line="480" w:lineRule="auto"/>
        <w:jc w:val="both"/>
        <w:rPr>
          <w:rFonts w:ascii="Times New Roman" w:hAnsi="Times New Roman" w:cs="Times New Roman"/>
          <w:bCs/>
        </w:rPr>
      </w:pPr>
      <w:r>
        <w:rPr>
          <w:rFonts w:ascii="Times New Roman" w:hAnsi="Times New Roman" w:cs="Times New Roman"/>
          <w:b/>
        </w:rPr>
        <w:t xml:space="preserve">Conclusion: </w:t>
      </w:r>
      <w:r w:rsidR="00CE70BD">
        <w:rPr>
          <w:rFonts w:ascii="Times New Roman" w:hAnsi="Times New Roman" w:cs="Times New Roman"/>
        </w:rPr>
        <w:t xml:space="preserve">Individualized doses of intracranial hypertension were stronger predictors of mortality than doses derived from the universal thresholds of 20 and 25 mm Hg. </w:t>
      </w:r>
      <w:r w:rsidR="007F74DF">
        <w:rPr>
          <w:rFonts w:ascii="Times New Roman" w:hAnsi="Times New Roman" w:cs="Times New Roman"/>
        </w:rPr>
        <w:t>The status or cerebrovascular pressure reactivity is critical on the association between dose of intracranial pressure and mortality</w:t>
      </w:r>
      <w:r w:rsidR="00830F14">
        <w:rPr>
          <w:rFonts w:ascii="Times New Roman" w:hAnsi="Times New Roman" w:cs="Times New Roman"/>
        </w:rPr>
        <w:t xml:space="preserve"> in severe traumatic brain injury.</w:t>
      </w:r>
      <w:bookmarkStart w:id="0" w:name="_GoBack"/>
      <w:bookmarkEnd w:id="0"/>
    </w:p>
    <w:p w14:paraId="0DEB0714" w14:textId="77777777" w:rsidR="00BA1282" w:rsidRDefault="00BA1282" w:rsidP="00820288">
      <w:pPr>
        <w:widowControl w:val="0"/>
        <w:autoSpaceDE w:val="0"/>
        <w:autoSpaceDN w:val="0"/>
        <w:adjustRightInd w:val="0"/>
        <w:spacing w:after="240" w:line="480" w:lineRule="auto"/>
        <w:jc w:val="both"/>
        <w:rPr>
          <w:rFonts w:ascii="Times New Roman" w:hAnsi="Times New Roman" w:cs="Times New Roman"/>
        </w:rPr>
      </w:pPr>
    </w:p>
    <w:p w14:paraId="757B153F" w14:textId="77777777" w:rsidR="00BA1282" w:rsidRDefault="00BA1282" w:rsidP="00820288">
      <w:pPr>
        <w:widowControl w:val="0"/>
        <w:autoSpaceDE w:val="0"/>
        <w:autoSpaceDN w:val="0"/>
        <w:adjustRightInd w:val="0"/>
        <w:spacing w:after="240" w:line="480" w:lineRule="auto"/>
        <w:jc w:val="both"/>
        <w:rPr>
          <w:rFonts w:ascii="Times New Roman" w:hAnsi="Times New Roman" w:cs="Times New Roman"/>
          <w:bCs/>
        </w:rPr>
      </w:pPr>
      <w:r w:rsidRPr="00FB330A">
        <w:rPr>
          <w:rFonts w:ascii="Times New Roman" w:hAnsi="Times New Roman" w:cs="Times New Roman"/>
          <w:b/>
          <w:bCs/>
        </w:rPr>
        <w:t>KEY WORDS:</w:t>
      </w:r>
      <w:r w:rsidRPr="00FB330A">
        <w:rPr>
          <w:rFonts w:ascii="Times New Roman" w:hAnsi="Times New Roman" w:cs="Times New Roman"/>
          <w:bCs/>
        </w:rPr>
        <w:t xml:space="preserve"> intracranial pressure; cerebrovascular pressure rea</w:t>
      </w:r>
      <w:r>
        <w:rPr>
          <w:rFonts w:ascii="Times New Roman" w:hAnsi="Times New Roman" w:cs="Times New Roman"/>
          <w:bCs/>
        </w:rPr>
        <w:t xml:space="preserve">ctivity; neuromonitoring; </w:t>
      </w:r>
      <w:r w:rsidRPr="00FB330A">
        <w:rPr>
          <w:rFonts w:ascii="Times New Roman" w:hAnsi="Times New Roman" w:cs="Times New Roman"/>
          <w:bCs/>
        </w:rPr>
        <w:t>clinical outcome; traumatic brain injury</w:t>
      </w:r>
    </w:p>
    <w:p w14:paraId="4D6B98C1" w14:textId="77777777" w:rsidR="00830F14" w:rsidRDefault="00830F14" w:rsidP="00AA11F7">
      <w:pPr>
        <w:widowControl w:val="0"/>
        <w:autoSpaceDE w:val="0"/>
        <w:autoSpaceDN w:val="0"/>
        <w:adjustRightInd w:val="0"/>
        <w:spacing w:after="240" w:line="480" w:lineRule="auto"/>
        <w:jc w:val="both"/>
        <w:rPr>
          <w:rFonts w:ascii="Times New Roman" w:hAnsi="Times New Roman" w:cs="Times New Roman"/>
          <w:bCs/>
          <w:i/>
          <w:iCs/>
        </w:rPr>
      </w:pPr>
    </w:p>
    <w:p w14:paraId="25741A56" w14:textId="242361B1" w:rsidR="00FA116B" w:rsidRPr="00AA11F7" w:rsidRDefault="00AC118F" w:rsidP="00AA11F7">
      <w:pPr>
        <w:widowControl w:val="0"/>
        <w:autoSpaceDE w:val="0"/>
        <w:autoSpaceDN w:val="0"/>
        <w:adjustRightInd w:val="0"/>
        <w:spacing w:after="240" w:line="480" w:lineRule="auto"/>
        <w:jc w:val="both"/>
        <w:rPr>
          <w:rFonts w:ascii="Times New Roman" w:hAnsi="Times New Roman" w:cs="Times New Roman"/>
          <w:bCs/>
        </w:rPr>
      </w:pPr>
      <w:r w:rsidRPr="00A06D79">
        <w:rPr>
          <w:rFonts w:ascii="Times New Roman" w:hAnsi="Times New Roman" w:cs="Times New Roman"/>
          <w:b/>
        </w:rPr>
        <w:lastRenderedPageBreak/>
        <w:t>INTRODUCTION</w:t>
      </w:r>
    </w:p>
    <w:p w14:paraId="5D73FC83" w14:textId="22DF3E4B" w:rsidR="000A7E2B" w:rsidRPr="00A06D79" w:rsidRDefault="00940DC3" w:rsidP="00245019">
      <w:pPr>
        <w:spacing w:line="480" w:lineRule="auto"/>
        <w:jc w:val="both"/>
        <w:rPr>
          <w:rFonts w:ascii="Times New Roman" w:hAnsi="Times New Roman" w:cs="Times New Roman"/>
        </w:rPr>
      </w:pPr>
      <w:r w:rsidRPr="00A06D79">
        <w:rPr>
          <w:rFonts w:ascii="Times New Roman" w:hAnsi="Times New Roman" w:cs="Times New Roman"/>
        </w:rPr>
        <w:t>Intracranial hypertension has been closely linked to</w:t>
      </w:r>
      <w:r w:rsidR="00175DAB" w:rsidRPr="00A06D79">
        <w:rPr>
          <w:rFonts w:ascii="Times New Roman" w:hAnsi="Times New Roman" w:cs="Times New Roman"/>
        </w:rPr>
        <w:t xml:space="preserve"> adverse outcomes after</w:t>
      </w:r>
      <w:r w:rsidR="00976E97" w:rsidRPr="00A06D79">
        <w:rPr>
          <w:rFonts w:ascii="Times New Roman" w:hAnsi="Times New Roman" w:cs="Times New Roman"/>
        </w:rPr>
        <w:t xml:space="preserve"> severe traumatic brain injury</w:t>
      </w:r>
      <w:r w:rsidR="00175DAB" w:rsidRPr="00A06D79">
        <w:rPr>
          <w:rFonts w:ascii="Times New Roman" w:hAnsi="Times New Roman" w:cs="Times New Roman"/>
        </w:rPr>
        <w:t xml:space="preserve"> </w:t>
      </w:r>
      <w:r w:rsidR="00976E97" w:rsidRPr="00A06D79">
        <w:rPr>
          <w:rFonts w:ascii="Times New Roman" w:hAnsi="Times New Roman" w:cs="Times New Roman"/>
        </w:rPr>
        <w:t>(</w:t>
      </w:r>
      <w:r w:rsidR="00FA116B" w:rsidRPr="00A06D79">
        <w:rPr>
          <w:rFonts w:ascii="Times New Roman" w:hAnsi="Times New Roman" w:cs="Times New Roman"/>
        </w:rPr>
        <w:t>TBI</w:t>
      </w:r>
      <w:r w:rsidR="00976E97" w:rsidRPr="00A06D79">
        <w:rPr>
          <w:rFonts w:ascii="Times New Roman" w:hAnsi="Times New Roman" w:cs="Times New Roman"/>
        </w:rPr>
        <w:t>)</w:t>
      </w:r>
      <w:r w:rsidR="00FA116B" w:rsidRPr="00A06D79">
        <w:rPr>
          <w:rFonts w:ascii="Times New Roman" w:hAnsi="Times New Roman" w:cs="Times New Roman"/>
        </w:rPr>
        <w:t xml:space="preserve">. </w:t>
      </w:r>
      <w:r w:rsidR="00451148" w:rsidRPr="00A06D79">
        <w:rPr>
          <w:rFonts w:ascii="Times New Roman" w:hAnsi="Times New Roman" w:cs="Times New Roman"/>
        </w:rPr>
        <w:t>Data from observational studies and non-controlled series have suggested thresholds ranging from 15 to 25 mm Hg</w:t>
      </w:r>
      <w:r w:rsidR="00D421A4">
        <w:rPr>
          <w:rFonts w:ascii="Times New Roman" w:hAnsi="Times New Roman" w:cs="Times New Roman"/>
        </w:rPr>
        <w:t xml:space="preserve"> [8, 12, 14, 1, 16]</w:t>
      </w:r>
      <w:r w:rsidR="00451148" w:rsidRPr="00A06D79">
        <w:rPr>
          <w:rFonts w:ascii="Times New Roman" w:hAnsi="Times New Roman" w:cs="Times New Roman"/>
        </w:rPr>
        <w:t>.</w:t>
      </w:r>
      <w:r w:rsidR="00D421A4">
        <w:rPr>
          <w:rFonts w:ascii="Times New Roman" w:hAnsi="Times New Roman" w:cs="Times New Roman"/>
        </w:rPr>
        <w:t xml:space="preserve"> </w:t>
      </w:r>
      <w:r w:rsidR="00451148" w:rsidRPr="00A06D79">
        <w:rPr>
          <w:rFonts w:ascii="Times New Roman" w:hAnsi="Times New Roman" w:cs="Times New Roman"/>
        </w:rPr>
        <w:t>The Brain Trauma Foundation</w:t>
      </w:r>
      <w:r w:rsidR="008371F5" w:rsidRPr="00A06D79">
        <w:rPr>
          <w:rFonts w:ascii="Times New Roman" w:hAnsi="Times New Roman" w:cs="Times New Roman"/>
        </w:rPr>
        <w:t>’s</w:t>
      </w:r>
      <w:r w:rsidR="003E5126" w:rsidRPr="00A06D79">
        <w:rPr>
          <w:rFonts w:ascii="Times New Roman" w:hAnsi="Times New Roman" w:cs="Times New Roman"/>
        </w:rPr>
        <w:t xml:space="preserve"> (BTF)</w:t>
      </w:r>
      <w:r w:rsidR="008371F5" w:rsidRPr="00A06D79">
        <w:rPr>
          <w:rFonts w:ascii="Times New Roman" w:hAnsi="Times New Roman" w:cs="Times New Roman"/>
        </w:rPr>
        <w:t xml:space="preserve"> </w:t>
      </w:r>
      <w:r w:rsidR="00A8790A" w:rsidRPr="00A06D79">
        <w:rPr>
          <w:rFonts w:ascii="Times New Roman" w:hAnsi="Times New Roman" w:cs="Times New Roman"/>
        </w:rPr>
        <w:t xml:space="preserve">latest </w:t>
      </w:r>
      <w:r w:rsidR="009A0217" w:rsidRPr="00A06D79">
        <w:rPr>
          <w:rFonts w:ascii="Times New Roman" w:hAnsi="Times New Roman" w:cs="Times New Roman"/>
        </w:rPr>
        <w:t xml:space="preserve">guideline </w:t>
      </w:r>
      <w:r w:rsidR="00CE7C31" w:rsidRPr="00A06D79">
        <w:rPr>
          <w:rFonts w:ascii="Times New Roman" w:hAnsi="Times New Roman" w:cs="Times New Roman"/>
        </w:rPr>
        <w:t>has</w:t>
      </w:r>
      <w:r w:rsidR="00451148" w:rsidRPr="00A06D79">
        <w:rPr>
          <w:rFonts w:ascii="Times New Roman" w:hAnsi="Times New Roman" w:cs="Times New Roman"/>
        </w:rPr>
        <w:t xml:space="preserve"> identified</w:t>
      </w:r>
      <w:r w:rsidR="00D90372" w:rsidRPr="00A06D79">
        <w:rPr>
          <w:rFonts w:ascii="Times New Roman" w:hAnsi="Times New Roman" w:cs="Times New Roman"/>
        </w:rPr>
        <w:t xml:space="preserve"> a</w:t>
      </w:r>
      <w:r w:rsidR="002401B4" w:rsidRPr="00A06D79">
        <w:rPr>
          <w:rFonts w:ascii="Times New Roman" w:hAnsi="Times New Roman" w:cs="Times New Roman"/>
        </w:rPr>
        <w:t xml:space="preserve"> lack of level-</w:t>
      </w:r>
      <w:r w:rsidR="00451148" w:rsidRPr="00A06D79">
        <w:rPr>
          <w:rFonts w:ascii="Times New Roman" w:hAnsi="Times New Roman" w:cs="Times New Roman"/>
        </w:rPr>
        <w:t>1 evidence and</w:t>
      </w:r>
      <w:r w:rsidR="00FA116B" w:rsidRPr="00A06D79">
        <w:rPr>
          <w:rFonts w:ascii="Times New Roman" w:hAnsi="Times New Roman" w:cs="Times New Roman"/>
        </w:rPr>
        <w:t xml:space="preserve"> </w:t>
      </w:r>
      <w:r w:rsidR="002401B4" w:rsidRPr="00A06D79">
        <w:rPr>
          <w:rFonts w:ascii="Times New Roman" w:hAnsi="Times New Roman" w:cs="Times New Roman"/>
        </w:rPr>
        <w:t xml:space="preserve">recognized </w:t>
      </w:r>
      <w:r w:rsidR="00872D54" w:rsidRPr="00A06D79">
        <w:rPr>
          <w:rFonts w:ascii="Times New Roman" w:hAnsi="Times New Roman" w:cs="Times New Roman"/>
        </w:rPr>
        <w:t>that rather</w:t>
      </w:r>
      <w:r w:rsidR="006651EE" w:rsidRPr="00A06D79">
        <w:rPr>
          <w:rFonts w:ascii="Times New Roman" w:hAnsi="Times New Roman" w:cs="Times New Roman"/>
        </w:rPr>
        <w:t xml:space="preserve"> than accepting</w:t>
      </w:r>
      <w:r w:rsidR="00872D54" w:rsidRPr="00A06D79">
        <w:rPr>
          <w:rFonts w:ascii="Times New Roman" w:hAnsi="Times New Roman" w:cs="Times New Roman"/>
        </w:rPr>
        <w:t xml:space="preserve"> a generic</w:t>
      </w:r>
      <w:r w:rsidR="00CE7C31" w:rsidRPr="00A06D79">
        <w:rPr>
          <w:rFonts w:ascii="Times New Roman" w:hAnsi="Times New Roman" w:cs="Times New Roman"/>
        </w:rPr>
        <w:t>, absolute</w:t>
      </w:r>
      <w:r w:rsidR="00FA116B" w:rsidRPr="00A06D79">
        <w:rPr>
          <w:rFonts w:ascii="Times New Roman" w:hAnsi="Times New Roman" w:cs="Times New Roman"/>
        </w:rPr>
        <w:t xml:space="preserve"> intracranial pressure (</w:t>
      </w:r>
      <w:r w:rsidR="00BF0563" w:rsidRPr="00A06D79">
        <w:rPr>
          <w:rFonts w:ascii="Times New Roman" w:hAnsi="Times New Roman" w:cs="Times New Roman"/>
        </w:rPr>
        <w:t>ICP</w:t>
      </w:r>
      <w:r w:rsidR="00FA116B" w:rsidRPr="00A06D79">
        <w:rPr>
          <w:rFonts w:ascii="Times New Roman" w:hAnsi="Times New Roman" w:cs="Times New Roman"/>
        </w:rPr>
        <w:t>)</w:t>
      </w:r>
      <w:r w:rsidR="00BF0563" w:rsidRPr="00A06D79">
        <w:rPr>
          <w:rFonts w:ascii="Times New Roman" w:hAnsi="Times New Roman" w:cs="Times New Roman"/>
        </w:rPr>
        <w:t xml:space="preserve"> </w:t>
      </w:r>
      <w:r w:rsidR="00872D54" w:rsidRPr="00A06D79">
        <w:rPr>
          <w:rFonts w:ascii="Times New Roman" w:hAnsi="Times New Roman" w:cs="Times New Roman"/>
        </w:rPr>
        <w:t xml:space="preserve">threshold, an attempt should be made to individualize thresholds </w:t>
      </w:r>
      <w:r w:rsidR="00CE7C31" w:rsidRPr="00A06D79">
        <w:rPr>
          <w:rFonts w:ascii="Times New Roman" w:hAnsi="Times New Roman" w:cs="Times New Roman"/>
        </w:rPr>
        <w:t>based on patient characteristi</w:t>
      </w:r>
      <w:r w:rsidR="003E0D29" w:rsidRPr="00A06D79">
        <w:rPr>
          <w:rFonts w:ascii="Times New Roman" w:hAnsi="Times New Roman" w:cs="Times New Roman"/>
        </w:rPr>
        <w:t>cs</w:t>
      </w:r>
      <w:r w:rsidR="00FD59F3">
        <w:rPr>
          <w:rFonts w:ascii="Times New Roman" w:hAnsi="Times New Roman" w:cs="Times New Roman"/>
        </w:rPr>
        <w:t xml:space="preserve"> [3].</w:t>
      </w:r>
      <w:r w:rsidR="000C024C" w:rsidRPr="00A06D79">
        <w:rPr>
          <w:rFonts w:ascii="Times New Roman" w:hAnsi="Times New Roman" w:cs="Times New Roman"/>
        </w:rPr>
        <w:t xml:space="preserve"> </w:t>
      </w:r>
      <w:r w:rsidR="00B45271" w:rsidRPr="00A06D79">
        <w:rPr>
          <w:rFonts w:ascii="Times New Roman" w:hAnsi="Times New Roman" w:cs="Times New Roman"/>
        </w:rPr>
        <w:t>Cerebrovascular pressure reactivity is defined as the ability of vascular smooth muscle to respond to changes in transmural pressure and represents one of the key mechanisms responsible for autoregulation of cereb</w:t>
      </w:r>
      <w:r w:rsidR="00042943" w:rsidRPr="00A06D79">
        <w:rPr>
          <w:rFonts w:ascii="Times New Roman" w:hAnsi="Times New Roman" w:cs="Times New Roman"/>
        </w:rPr>
        <w:t>ral blood flow</w:t>
      </w:r>
      <w:r w:rsidR="00951508">
        <w:rPr>
          <w:rFonts w:ascii="Times New Roman" w:hAnsi="Times New Roman" w:cs="Times New Roman"/>
        </w:rPr>
        <w:t xml:space="preserve"> </w:t>
      </w:r>
      <w:r w:rsidR="00FD59F3">
        <w:rPr>
          <w:rFonts w:ascii="Times New Roman" w:hAnsi="Times New Roman" w:cs="Times New Roman"/>
        </w:rPr>
        <w:t>[13]</w:t>
      </w:r>
      <w:r w:rsidR="00B45271" w:rsidRPr="00A06D79">
        <w:rPr>
          <w:rFonts w:ascii="Times New Roman" w:hAnsi="Times New Roman" w:cs="Times New Roman"/>
        </w:rPr>
        <w:t>. Pressure reactivity can be determined by observing the res</w:t>
      </w:r>
      <w:r w:rsidR="00411174" w:rsidRPr="00A06D79">
        <w:rPr>
          <w:rFonts w:ascii="Times New Roman" w:hAnsi="Times New Roman" w:cs="Times New Roman"/>
        </w:rPr>
        <w:t>ponse of ICP</w:t>
      </w:r>
      <w:r w:rsidR="00B45271" w:rsidRPr="00A06D79">
        <w:rPr>
          <w:rFonts w:ascii="Times New Roman" w:hAnsi="Times New Roman" w:cs="Times New Roman"/>
        </w:rPr>
        <w:t xml:space="preserve"> to changes in mea</w:t>
      </w:r>
      <w:r w:rsidR="00BE39FC" w:rsidRPr="00A06D79">
        <w:rPr>
          <w:rFonts w:ascii="Times New Roman" w:hAnsi="Times New Roman" w:cs="Times New Roman"/>
        </w:rPr>
        <w:t>n arterial</w:t>
      </w:r>
      <w:r w:rsidR="00B45271" w:rsidRPr="00A06D79">
        <w:rPr>
          <w:rFonts w:ascii="Times New Roman" w:hAnsi="Times New Roman" w:cs="Times New Roman"/>
        </w:rPr>
        <w:t xml:space="preserve"> pressure (MAP)</w:t>
      </w:r>
      <w:r w:rsidR="000A7E2B" w:rsidRPr="00A06D79">
        <w:rPr>
          <w:rFonts w:ascii="Times New Roman" w:hAnsi="Times New Roman" w:cs="Times New Roman"/>
        </w:rPr>
        <w:t xml:space="preserve"> and monitored via the pressure reactivity index (PRx)</w:t>
      </w:r>
      <w:r w:rsidR="000C024C" w:rsidRPr="00A06D79">
        <w:rPr>
          <w:rFonts w:ascii="Times New Roman" w:hAnsi="Times New Roman" w:cs="Times New Roman"/>
        </w:rPr>
        <w:t xml:space="preserve"> as suggested by Czosnyka et al.</w:t>
      </w:r>
      <w:r w:rsidR="00FD59F3">
        <w:rPr>
          <w:rFonts w:ascii="Times New Roman" w:hAnsi="Times New Roman" w:cs="Times New Roman"/>
        </w:rPr>
        <w:t xml:space="preserve"> [6, 7, 17]</w:t>
      </w:r>
      <w:r w:rsidR="0060220C" w:rsidRPr="00A06D79">
        <w:rPr>
          <w:rFonts w:ascii="Times New Roman" w:hAnsi="Times New Roman" w:cs="Times New Roman"/>
        </w:rPr>
        <w:t xml:space="preserve"> </w:t>
      </w:r>
      <w:r w:rsidR="00B45271" w:rsidRPr="00A06D79">
        <w:rPr>
          <w:rFonts w:ascii="Times New Roman" w:hAnsi="Times New Roman" w:cs="Times New Roman"/>
        </w:rPr>
        <w:t>We defined patient-specific, pressure reactivity-guided ICP thresholds by graphing the relationship between ICP and PRx</w:t>
      </w:r>
      <w:r w:rsidR="00820A7D" w:rsidRPr="00A06D79">
        <w:rPr>
          <w:rFonts w:ascii="Times New Roman" w:hAnsi="Times New Roman" w:cs="Times New Roman"/>
        </w:rPr>
        <w:t xml:space="preserve"> over</w:t>
      </w:r>
      <w:r w:rsidR="001A7329" w:rsidRPr="00A06D79">
        <w:rPr>
          <w:rFonts w:ascii="Times New Roman" w:hAnsi="Times New Roman" w:cs="Times New Roman"/>
        </w:rPr>
        <w:t xml:space="preserve"> the</w:t>
      </w:r>
      <w:r w:rsidR="00820A7D" w:rsidRPr="00A06D79">
        <w:rPr>
          <w:rFonts w:ascii="Times New Roman" w:hAnsi="Times New Roman" w:cs="Times New Roman"/>
        </w:rPr>
        <w:t xml:space="preserve"> total monitoring time</w:t>
      </w:r>
      <w:r w:rsidR="003E0D29" w:rsidRPr="00A06D79">
        <w:rPr>
          <w:rFonts w:ascii="Times New Roman" w:hAnsi="Times New Roman" w:cs="Times New Roman"/>
        </w:rPr>
        <w:t xml:space="preserve"> for each patient</w:t>
      </w:r>
      <w:r w:rsidR="00B45271" w:rsidRPr="00A06D79">
        <w:rPr>
          <w:rFonts w:ascii="Times New Roman" w:hAnsi="Times New Roman" w:cs="Times New Roman"/>
        </w:rPr>
        <w:t>. We hypothesized that an “ICP dose” based on a distur</w:t>
      </w:r>
      <w:r w:rsidR="006651EE" w:rsidRPr="00A06D79">
        <w:rPr>
          <w:rFonts w:ascii="Times New Roman" w:hAnsi="Times New Roman" w:cs="Times New Roman"/>
        </w:rPr>
        <w:t xml:space="preserve">bed pressure-reactivity </w:t>
      </w:r>
      <w:r w:rsidR="007D717C" w:rsidRPr="00A06D79">
        <w:rPr>
          <w:rFonts w:ascii="Times New Roman" w:hAnsi="Times New Roman" w:cs="Times New Roman"/>
        </w:rPr>
        <w:t>ICP-</w:t>
      </w:r>
      <w:r w:rsidR="00B45271" w:rsidRPr="00A06D79">
        <w:rPr>
          <w:rFonts w:ascii="Times New Roman" w:hAnsi="Times New Roman" w:cs="Times New Roman"/>
        </w:rPr>
        <w:t>threshold would correlat</w:t>
      </w:r>
      <w:r w:rsidR="009435B9" w:rsidRPr="00A06D79">
        <w:rPr>
          <w:rFonts w:ascii="Times New Roman" w:hAnsi="Times New Roman" w:cs="Times New Roman"/>
        </w:rPr>
        <w:t>e closer with clinical outcome</w:t>
      </w:r>
      <w:r w:rsidR="00B45271" w:rsidRPr="00A06D79">
        <w:rPr>
          <w:rFonts w:ascii="Times New Roman" w:hAnsi="Times New Roman" w:cs="Times New Roman"/>
        </w:rPr>
        <w:t xml:space="preserve"> when compared to an ICP dose calculated by using the generic, recommended threshold</w:t>
      </w:r>
      <w:r w:rsidR="00D207C6" w:rsidRPr="00A06D79">
        <w:rPr>
          <w:rFonts w:ascii="Times New Roman" w:hAnsi="Times New Roman" w:cs="Times New Roman"/>
        </w:rPr>
        <w:t>s</w:t>
      </w:r>
      <w:r w:rsidR="00B45271" w:rsidRPr="00A06D79">
        <w:rPr>
          <w:rFonts w:ascii="Times New Roman" w:hAnsi="Times New Roman" w:cs="Times New Roman"/>
        </w:rPr>
        <w:t xml:space="preserve"> of 20</w:t>
      </w:r>
      <w:r w:rsidR="00D207C6" w:rsidRPr="00A06D79">
        <w:rPr>
          <w:rFonts w:ascii="Times New Roman" w:hAnsi="Times New Roman" w:cs="Times New Roman"/>
        </w:rPr>
        <w:t xml:space="preserve"> and 25</w:t>
      </w:r>
      <w:r w:rsidR="00B45271" w:rsidRPr="00A06D79">
        <w:rPr>
          <w:rFonts w:ascii="Times New Roman" w:hAnsi="Times New Roman" w:cs="Times New Roman"/>
        </w:rPr>
        <w:t xml:space="preserve"> mm </w:t>
      </w:r>
      <w:r w:rsidR="00CE147E" w:rsidRPr="00A06D79">
        <w:rPr>
          <w:rFonts w:ascii="Times New Roman" w:hAnsi="Times New Roman" w:cs="Times New Roman"/>
        </w:rPr>
        <w:t xml:space="preserve">Hg. </w:t>
      </w:r>
      <w:r w:rsidR="00D4085E" w:rsidRPr="00A06D79">
        <w:rPr>
          <w:rFonts w:ascii="Times New Roman" w:hAnsi="Times New Roman" w:cs="Times New Roman"/>
        </w:rPr>
        <w:t>The full findings of this study</w:t>
      </w:r>
      <w:r w:rsidR="006E4C9B">
        <w:rPr>
          <w:rFonts w:ascii="Times New Roman" w:hAnsi="Times New Roman" w:cs="Times New Roman"/>
        </w:rPr>
        <w:t xml:space="preserve"> have been published elsewhere</w:t>
      </w:r>
      <w:r w:rsidR="0060220C" w:rsidRPr="00A06D79">
        <w:rPr>
          <w:rFonts w:ascii="Times New Roman" w:hAnsi="Times New Roman" w:cs="Times New Roman"/>
        </w:rPr>
        <w:t xml:space="preserve">. Here, we provide a </w:t>
      </w:r>
      <w:r w:rsidR="00D4085E" w:rsidRPr="00A06D79">
        <w:rPr>
          <w:rFonts w:ascii="Times New Roman" w:hAnsi="Times New Roman" w:cs="Times New Roman"/>
        </w:rPr>
        <w:t>synopsis of our work and make a further comment relating to our findings on doses of intracranial hypertension.</w:t>
      </w:r>
    </w:p>
    <w:p w14:paraId="72967D25" w14:textId="77777777" w:rsidR="0060220C" w:rsidRPr="00A06D79" w:rsidRDefault="0060220C" w:rsidP="00245019">
      <w:pPr>
        <w:spacing w:line="480" w:lineRule="auto"/>
        <w:jc w:val="both"/>
        <w:rPr>
          <w:rFonts w:ascii="Times New Roman" w:hAnsi="Times New Roman" w:cs="Times New Roman"/>
        </w:rPr>
      </w:pPr>
    </w:p>
    <w:p w14:paraId="01F4C794" w14:textId="45AB27CC" w:rsidR="00C97B9D" w:rsidRPr="00A06D79" w:rsidRDefault="00B44429" w:rsidP="00245019">
      <w:pPr>
        <w:spacing w:line="480" w:lineRule="auto"/>
        <w:jc w:val="both"/>
        <w:rPr>
          <w:rFonts w:ascii="Times New Roman" w:hAnsi="Times New Roman" w:cs="Times New Roman"/>
        </w:rPr>
      </w:pPr>
      <w:r w:rsidRPr="00A06D79">
        <w:rPr>
          <w:rFonts w:ascii="Times New Roman" w:hAnsi="Times New Roman" w:cs="Times New Roman"/>
          <w:b/>
        </w:rPr>
        <w:t xml:space="preserve">MATERIALS AND </w:t>
      </w:r>
      <w:r w:rsidR="00C97B9D" w:rsidRPr="00A06D79">
        <w:rPr>
          <w:rFonts w:ascii="Times New Roman" w:hAnsi="Times New Roman" w:cs="Times New Roman"/>
          <w:b/>
        </w:rPr>
        <w:t>METHODS</w:t>
      </w:r>
    </w:p>
    <w:p w14:paraId="71739CEC" w14:textId="322B6867" w:rsidR="0041507D" w:rsidRPr="00A06D79" w:rsidRDefault="00FA398C" w:rsidP="00245019">
      <w:pPr>
        <w:widowControl w:val="0"/>
        <w:autoSpaceDE w:val="0"/>
        <w:autoSpaceDN w:val="0"/>
        <w:adjustRightInd w:val="0"/>
        <w:spacing w:after="240" w:line="480" w:lineRule="auto"/>
        <w:jc w:val="both"/>
        <w:rPr>
          <w:rFonts w:ascii="Times New Roman" w:hAnsi="Times New Roman" w:cs="Times New Roman"/>
        </w:rPr>
      </w:pPr>
      <w:r w:rsidRPr="00A06D79">
        <w:rPr>
          <w:rFonts w:ascii="Times New Roman" w:hAnsi="Times New Roman" w:cs="Times New Roman"/>
        </w:rPr>
        <w:t xml:space="preserve">We </w:t>
      </w:r>
      <w:r w:rsidR="00CD65CE" w:rsidRPr="00A06D79">
        <w:rPr>
          <w:rFonts w:ascii="Times New Roman" w:hAnsi="Times New Roman" w:cs="Times New Roman"/>
        </w:rPr>
        <w:t xml:space="preserve">retrospectively analyzed anonymized digital recordings of ABP and ICP waveforms </w:t>
      </w:r>
      <w:r w:rsidR="00CD65CE" w:rsidRPr="00A06D79">
        <w:rPr>
          <w:rFonts w:ascii="Times New Roman" w:hAnsi="Times New Roman" w:cs="Times New Roman"/>
        </w:rPr>
        <w:lastRenderedPageBreak/>
        <w:t>from 327 consecutive patients with severe TBI, admitted to the neurocritical care unit at Addenbrooke’s Hospital between 2003 and 2009.</w:t>
      </w:r>
      <w:r w:rsidRPr="00A06D79">
        <w:rPr>
          <w:rFonts w:ascii="Times New Roman" w:hAnsi="Times New Roman" w:cs="Times New Roman"/>
        </w:rPr>
        <w:t xml:space="preserve"> </w:t>
      </w:r>
      <w:r w:rsidR="00CD65CE" w:rsidRPr="00A06D79">
        <w:rPr>
          <w:rFonts w:ascii="Times New Roman" w:hAnsi="Times New Roman" w:cs="Times New Roman"/>
        </w:rPr>
        <w:t>The clinical outcome was assessed at 6 months using the Glasgow Outcom</w:t>
      </w:r>
      <w:r w:rsidR="00425EDE" w:rsidRPr="00A06D79">
        <w:rPr>
          <w:rFonts w:ascii="Times New Roman" w:hAnsi="Times New Roman" w:cs="Times New Roman"/>
        </w:rPr>
        <w:t>e Scale (GOS)</w:t>
      </w:r>
      <w:r w:rsidR="00B02AB0">
        <w:rPr>
          <w:rFonts w:ascii="Times New Roman" w:hAnsi="Times New Roman" w:cs="Times New Roman"/>
        </w:rPr>
        <w:t xml:space="preserve"> [10]</w:t>
      </w:r>
      <w:r w:rsidR="005F4327" w:rsidRPr="00A06D79">
        <w:rPr>
          <w:rFonts w:ascii="Times New Roman" w:hAnsi="Times New Roman" w:cs="Times New Roman"/>
        </w:rPr>
        <w:t xml:space="preserve">. </w:t>
      </w:r>
      <w:r w:rsidRPr="00A06D79">
        <w:rPr>
          <w:rFonts w:ascii="Times New Roman" w:hAnsi="Times New Roman" w:cs="Times New Roman"/>
        </w:rPr>
        <w:t xml:space="preserve">Physiologic signals </w:t>
      </w:r>
      <w:r w:rsidR="000A7E2B" w:rsidRPr="00A06D79">
        <w:rPr>
          <w:rFonts w:ascii="Times New Roman" w:hAnsi="Times New Roman" w:cs="Times New Roman"/>
        </w:rPr>
        <w:t xml:space="preserve">were </w:t>
      </w:r>
      <w:r w:rsidR="00CD65CE" w:rsidRPr="00A06D79">
        <w:rPr>
          <w:rFonts w:ascii="Times New Roman" w:hAnsi="Times New Roman" w:cs="Times New Roman"/>
        </w:rPr>
        <w:t xml:space="preserve">recorded using a laptop computer with ICM+ software (University of Cambridge, Cambridge Enterprise, Cambridge, UK, http:// </w:t>
      </w:r>
      <w:hyperlink r:id="rId9" w:history="1">
        <w:r w:rsidR="00B02AB0" w:rsidRPr="00226930">
          <w:rPr>
            <w:rStyle w:val="Hyperlink"/>
            <w:rFonts w:ascii="Times New Roman" w:hAnsi="Times New Roman" w:cs="Times New Roman"/>
          </w:rPr>
          <w:t>www.neurosurg.cam.ac.uk/icmplus</w:t>
        </w:r>
      </w:hyperlink>
      <w:r w:rsidR="00E218BD" w:rsidRPr="00A06D79">
        <w:rPr>
          <w:rFonts w:ascii="Times New Roman" w:hAnsi="Times New Roman" w:cs="Times New Roman"/>
        </w:rPr>
        <w:t>)</w:t>
      </w:r>
      <w:r w:rsidR="00B02AB0">
        <w:rPr>
          <w:rFonts w:ascii="Times New Roman" w:hAnsi="Times New Roman" w:cs="Times New Roman"/>
        </w:rPr>
        <w:t xml:space="preserve"> [15]</w:t>
      </w:r>
      <w:r w:rsidR="00E218BD" w:rsidRPr="00A06D79">
        <w:rPr>
          <w:rFonts w:ascii="Times New Roman" w:hAnsi="Times New Roman" w:cs="Times New Roman"/>
        </w:rPr>
        <w:t>.</w:t>
      </w:r>
      <w:r w:rsidR="00B02AB0">
        <w:rPr>
          <w:rFonts w:ascii="Times New Roman" w:hAnsi="Times New Roman" w:cs="Times New Roman"/>
        </w:rPr>
        <w:t xml:space="preserve"> </w:t>
      </w:r>
      <w:r w:rsidR="006A49C5" w:rsidRPr="00A06D79">
        <w:rPr>
          <w:rFonts w:ascii="Times New Roman" w:hAnsi="Times New Roman" w:cs="Times New Roman"/>
        </w:rPr>
        <w:t xml:space="preserve">The </w:t>
      </w:r>
      <w:r w:rsidR="00C97B9D" w:rsidRPr="00A06D79">
        <w:rPr>
          <w:rFonts w:ascii="Times New Roman" w:hAnsi="Times New Roman" w:cs="Times New Roman"/>
        </w:rPr>
        <w:t>PRx was calculated as a short-term moving Pearson correlation coefficient between changes in 30 consecutive, 10 s</w:t>
      </w:r>
      <w:r w:rsidR="002E7893" w:rsidRPr="00A06D79">
        <w:rPr>
          <w:rFonts w:ascii="Times New Roman" w:hAnsi="Times New Roman" w:cs="Times New Roman"/>
        </w:rPr>
        <w:t>ec</w:t>
      </w:r>
      <w:r w:rsidR="008703D8" w:rsidRPr="00A06D79">
        <w:rPr>
          <w:rFonts w:ascii="Times New Roman" w:hAnsi="Times New Roman" w:cs="Times New Roman"/>
        </w:rPr>
        <w:t>onds</w:t>
      </w:r>
      <w:r w:rsidR="00C97B9D" w:rsidRPr="00A06D79">
        <w:rPr>
          <w:rFonts w:ascii="Times New Roman" w:hAnsi="Times New Roman" w:cs="Times New Roman"/>
        </w:rPr>
        <w:t xml:space="preserve"> averages of ABP, and corresponding ICP signals (with </w:t>
      </w:r>
      <w:r w:rsidR="00115734" w:rsidRPr="00A06D79">
        <w:rPr>
          <w:rFonts w:ascii="Times New Roman" w:hAnsi="Times New Roman" w:cs="Times New Roman"/>
        </w:rPr>
        <w:t>80% ov</w:t>
      </w:r>
      <w:r w:rsidR="005F4327" w:rsidRPr="00A06D79">
        <w:rPr>
          <w:rFonts w:ascii="Times New Roman" w:hAnsi="Times New Roman" w:cs="Times New Roman"/>
        </w:rPr>
        <w:t>erlap of data)</w:t>
      </w:r>
      <w:r w:rsidR="00C97B9D" w:rsidRPr="00A06D79">
        <w:rPr>
          <w:rFonts w:ascii="Times New Roman" w:hAnsi="Times New Roman" w:cs="Times New Roman"/>
        </w:rPr>
        <w:t>.</w:t>
      </w:r>
      <w:r w:rsidR="00586F29" w:rsidRPr="00A06D79">
        <w:rPr>
          <w:rFonts w:ascii="Times New Roman" w:hAnsi="Times New Roman" w:cs="Times New Roman"/>
        </w:rPr>
        <w:t xml:space="preserve"> </w:t>
      </w:r>
      <w:r w:rsidR="000774FE" w:rsidRPr="00A06D79">
        <w:rPr>
          <w:rFonts w:ascii="Times New Roman" w:hAnsi="Times New Roman" w:cs="Times New Roman"/>
        </w:rPr>
        <w:t>Based on the continuous measure</w:t>
      </w:r>
      <w:r w:rsidR="007E46CB" w:rsidRPr="00A06D79">
        <w:rPr>
          <w:rFonts w:ascii="Times New Roman" w:hAnsi="Times New Roman" w:cs="Times New Roman"/>
        </w:rPr>
        <w:t>ment and monitoring of PRx</w:t>
      </w:r>
      <w:r w:rsidR="000774FE" w:rsidRPr="00A06D79">
        <w:rPr>
          <w:rFonts w:ascii="Times New Roman" w:hAnsi="Times New Roman" w:cs="Times New Roman"/>
        </w:rPr>
        <w:t xml:space="preserve"> we defined patient-specifi</w:t>
      </w:r>
      <w:r w:rsidR="005D068B" w:rsidRPr="00A06D79">
        <w:rPr>
          <w:rFonts w:ascii="Times New Roman" w:hAnsi="Times New Roman" w:cs="Times New Roman"/>
        </w:rPr>
        <w:t>c</w:t>
      </w:r>
      <w:r w:rsidR="007E46CB" w:rsidRPr="00A06D79">
        <w:rPr>
          <w:rFonts w:ascii="Times New Roman" w:hAnsi="Times New Roman" w:cs="Times New Roman"/>
        </w:rPr>
        <w:t>, individualized</w:t>
      </w:r>
      <w:r w:rsidR="005D068B" w:rsidRPr="00A06D79">
        <w:rPr>
          <w:rFonts w:ascii="Times New Roman" w:hAnsi="Times New Roman" w:cs="Times New Roman"/>
        </w:rPr>
        <w:t xml:space="preserve"> ICP thresholds.</w:t>
      </w:r>
      <w:r w:rsidR="00D035B2" w:rsidRPr="00A06D79">
        <w:rPr>
          <w:rFonts w:ascii="Times New Roman" w:hAnsi="Times New Roman" w:cs="Times New Roman"/>
        </w:rPr>
        <w:t xml:space="preserve"> These thresholds were visually identifie</w:t>
      </w:r>
      <w:r w:rsidR="002B1276" w:rsidRPr="00A06D79">
        <w:rPr>
          <w:rFonts w:ascii="Times New Roman" w:hAnsi="Times New Roman" w:cs="Times New Roman"/>
        </w:rPr>
        <w:t>d from graphs of PRx</w:t>
      </w:r>
      <w:r w:rsidR="00294247" w:rsidRPr="00A06D79">
        <w:rPr>
          <w:rFonts w:ascii="Times New Roman" w:hAnsi="Times New Roman" w:cs="Times New Roman"/>
        </w:rPr>
        <w:t xml:space="preserve"> versus</w:t>
      </w:r>
      <w:r w:rsidR="00D035B2" w:rsidRPr="00A06D79">
        <w:rPr>
          <w:rFonts w:ascii="Times New Roman" w:hAnsi="Times New Roman" w:cs="Times New Roman"/>
        </w:rPr>
        <w:t xml:space="preserve"> ICP</w:t>
      </w:r>
      <w:r w:rsidR="008B659E" w:rsidRPr="00A06D79">
        <w:rPr>
          <w:rFonts w:ascii="Times New Roman" w:hAnsi="Times New Roman" w:cs="Times New Roman"/>
        </w:rPr>
        <w:t xml:space="preserve"> over the total monitoring time</w:t>
      </w:r>
      <w:r w:rsidR="001361EF" w:rsidRPr="00A06D79">
        <w:rPr>
          <w:rFonts w:ascii="Times New Roman" w:hAnsi="Times New Roman" w:cs="Times New Roman"/>
        </w:rPr>
        <w:t xml:space="preserve"> for each patient individually</w:t>
      </w:r>
      <w:r w:rsidR="00D035B2" w:rsidRPr="00A06D79">
        <w:rPr>
          <w:rFonts w:ascii="Times New Roman" w:hAnsi="Times New Roman" w:cs="Times New Roman"/>
        </w:rPr>
        <w:t>. The cu</w:t>
      </w:r>
      <w:r w:rsidR="007E46CB" w:rsidRPr="00A06D79">
        <w:rPr>
          <w:rFonts w:ascii="Times New Roman" w:hAnsi="Times New Roman" w:cs="Times New Roman"/>
        </w:rPr>
        <w:t>t-off used was: PRx &gt; 0.2;</w:t>
      </w:r>
      <w:r w:rsidR="000A7E2B" w:rsidRPr="00A06D79">
        <w:rPr>
          <w:rFonts w:ascii="Times New Roman" w:hAnsi="Times New Roman" w:cs="Times New Roman"/>
        </w:rPr>
        <w:t xml:space="preserve"> </w:t>
      </w:r>
      <w:r w:rsidR="00AE66F9" w:rsidRPr="00A06D79">
        <w:rPr>
          <w:rFonts w:ascii="Times New Roman" w:hAnsi="Times New Roman" w:cs="Times New Roman"/>
        </w:rPr>
        <w:t>The value for the ICP threshold was only accepted if the graph showed a distinct change of PRx values from less than 0.2 to consistently exceeding 0.2</w:t>
      </w:r>
      <w:r w:rsidR="004C2670" w:rsidRPr="00A06D79">
        <w:rPr>
          <w:rFonts w:ascii="Times New Roman" w:hAnsi="Times New Roman" w:cs="Times New Roman"/>
        </w:rPr>
        <w:t xml:space="preserve">. </w:t>
      </w:r>
      <w:r w:rsidR="00A258C5" w:rsidRPr="00A06D79">
        <w:rPr>
          <w:rFonts w:ascii="Times New Roman" w:hAnsi="Times New Roman" w:cs="Times New Roman"/>
        </w:rPr>
        <w:t xml:space="preserve">In order to quantify the physiologic insult from intracranial hypertension we </w:t>
      </w:r>
      <w:r w:rsidR="00586F29" w:rsidRPr="00A06D79">
        <w:rPr>
          <w:rFonts w:ascii="Times New Roman" w:hAnsi="Times New Roman" w:cs="Times New Roman"/>
        </w:rPr>
        <w:t xml:space="preserve">computed </w:t>
      </w:r>
      <w:r w:rsidR="00A258C5" w:rsidRPr="00A06D79">
        <w:rPr>
          <w:rFonts w:ascii="Times New Roman" w:hAnsi="Times New Roman" w:cs="Times New Roman"/>
        </w:rPr>
        <w:t>“</w:t>
      </w:r>
      <w:r w:rsidR="00586F29" w:rsidRPr="00A06D79">
        <w:rPr>
          <w:rFonts w:ascii="Times New Roman" w:hAnsi="Times New Roman" w:cs="Times New Roman"/>
        </w:rPr>
        <w:t xml:space="preserve">ICP dose” </w:t>
      </w:r>
      <w:r w:rsidR="00A258C5" w:rsidRPr="00A06D79">
        <w:rPr>
          <w:rFonts w:ascii="Times New Roman" w:hAnsi="Times New Roman" w:cs="Times New Roman"/>
        </w:rPr>
        <w:t xml:space="preserve">as the </w:t>
      </w:r>
      <w:r w:rsidR="00490D55" w:rsidRPr="00A06D79">
        <w:rPr>
          <w:rFonts w:ascii="Times New Roman" w:hAnsi="Times New Roman" w:cs="Times New Roman"/>
        </w:rPr>
        <w:t>cumulati</w:t>
      </w:r>
      <w:r w:rsidR="00356AC5" w:rsidRPr="00A06D79">
        <w:rPr>
          <w:rFonts w:ascii="Times New Roman" w:hAnsi="Times New Roman" w:cs="Times New Roman"/>
        </w:rPr>
        <w:t>ve area under the curve</w:t>
      </w:r>
      <w:r w:rsidR="008376BC" w:rsidRPr="00A06D79">
        <w:rPr>
          <w:rFonts w:ascii="Times New Roman" w:hAnsi="Times New Roman" w:cs="Times New Roman"/>
        </w:rPr>
        <w:t xml:space="preserve"> above a defined </w:t>
      </w:r>
      <w:r w:rsidR="00A258C5" w:rsidRPr="00A06D79">
        <w:rPr>
          <w:rFonts w:ascii="Times New Roman" w:hAnsi="Times New Roman" w:cs="Times New Roman"/>
        </w:rPr>
        <w:t xml:space="preserve">threshold. </w:t>
      </w:r>
      <w:r w:rsidR="00AA15FA" w:rsidRPr="00A06D79">
        <w:rPr>
          <w:rFonts w:ascii="Times New Roman" w:hAnsi="Times New Roman" w:cs="Times New Roman"/>
        </w:rPr>
        <w:t>The trapezoidal meth</w:t>
      </w:r>
      <w:r w:rsidR="001A7329" w:rsidRPr="00A06D79">
        <w:rPr>
          <w:rFonts w:ascii="Times New Roman" w:hAnsi="Times New Roman" w:cs="Times New Roman"/>
        </w:rPr>
        <w:t>od was used to calculate</w:t>
      </w:r>
      <w:r w:rsidR="00356AC5" w:rsidRPr="00A06D79">
        <w:rPr>
          <w:rFonts w:ascii="Times New Roman" w:hAnsi="Times New Roman" w:cs="Times New Roman"/>
        </w:rPr>
        <w:t xml:space="preserve"> doses from</w:t>
      </w:r>
      <w:r w:rsidR="00AA15FA" w:rsidRPr="00A06D79">
        <w:rPr>
          <w:rFonts w:ascii="Times New Roman" w:hAnsi="Times New Roman" w:cs="Times New Roman"/>
        </w:rPr>
        <w:t xml:space="preserve"> g</w:t>
      </w:r>
      <w:r w:rsidR="00490D55" w:rsidRPr="00A06D79">
        <w:rPr>
          <w:rFonts w:ascii="Times New Roman" w:hAnsi="Times New Roman" w:cs="Times New Roman"/>
        </w:rPr>
        <w:t>raph</w:t>
      </w:r>
      <w:r w:rsidR="00356AC5" w:rsidRPr="00A06D79">
        <w:rPr>
          <w:rFonts w:ascii="Times New Roman" w:hAnsi="Times New Roman" w:cs="Times New Roman"/>
        </w:rPr>
        <w:t>s</w:t>
      </w:r>
      <w:r w:rsidR="00490D55" w:rsidRPr="00A06D79">
        <w:rPr>
          <w:rFonts w:ascii="Times New Roman" w:hAnsi="Times New Roman" w:cs="Times New Roman"/>
        </w:rPr>
        <w:t xml:space="preserve"> of ICP versus time; the ICP “dose”</w:t>
      </w:r>
      <w:r w:rsidR="00AA15FA" w:rsidRPr="00A06D79">
        <w:rPr>
          <w:rFonts w:ascii="Times New Roman" w:hAnsi="Times New Roman" w:cs="Times New Roman"/>
        </w:rPr>
        <w:t xml:space="preserve"> is measured in mm Hg*hour</w:t>
      </w:r>
      <w:r w:rsidR="00B02AB0">
        <w:rPr>
          <w:rFonts w:ascii="Times New Roman" w:hAnsi="Times New Roman" w:cs="Times New Roman"/>
        </w:rPr>
        <w:t xml:space="preserve"> [18]</w:t>
      </w:r>
      <w:r w:rsidR="00791DE5" w:rsidRPr="00A06D79">
        <w:rPr>
          <w:rFonts w:ascii="Times New Roman" w:hAnsi="Times New Roman" w:cs="Times New Roman"/>
        </w:rPr>
        <w:t xml:space="preserve">. </w:t>
      </w:r>
      <w:r w:rsidR="00A258C5" w:rsidRPr="00A06D79">
        <w:rPr>
          <w:rFonts w:ascii="Times New Roman" w:hAnsi="Times New Roman" w:cs="Times New Roman"/>
        </w:rPr>
        <w:t>For an ICP threshold of 20 mm Hg we named this dose D20. Using the same</w:t>
      </w:r>
      <w:r w:rsidR="00EE14C2" w:rsidRPr="00A06D79">
        <w:rPr>
          <w:rFonts w:ascii="Times New Roman" w:hAnsi="Times New Roman" w:cs="Times New Roman"/>
        </w:rPr>
        <w:t xml:space="preserve"> methodology we calculated</w:t>
      </w:r>
      <w:r w:rsidR="002136DF" w:rsidRPr="00A06D79">
        <w:rPr>
          <w:rFonts w:ascii="Times New Roman" w:hAnsi="Times New Roman" w:cs="Times New Roman"/>
        </w:rPr>
        <w:t xml:space="preserve"> D25 and </w:t>
      </w:r>
      <w:r w:rsidR="00EE14C2" w:rsidRPr="00A06D79">
        <w:rPr>
          <w:rFonts w:ascii="Times New Roman" w:hAnsi="Times New Roman" w:cs="Times New Roman"/>
        </w:rPr>
        <w:t>DPRx</w:t>
      </w:r>
      <w:r w:rsidR="00A258C5" w:rsidRPr="00A06D79">
        <w:rPr>
          <w:rFonts w:ascii="Times New Roman" w:hAnsi="Times New Roman" w:cs="Times New Roman"/>
        </w:rPr>
        <w:t>.</w:t>
      </w:r>
      <w:r w:rsidR="00490D55" w:rsidRPr="00A06D79">
        <w:rPr>
          <w:rFonts w:ascii="Times New Roman" w:hAnsi="Times New Roman" w:cs="Times New Roman"/>
        </w:rPr>
        <w:t xml:space="preserve"> Identification of ICP thresholds and calculation of doses, were blinded to clinical outcome.</w:t>
      </w:r>
    </w:p>
    <w:p w14:paraId="5187B5C0" w14:textId="770A4902" w:rsidR="006B7EEB" w:rsidRPr="00A06D79" w:rsidRDefault="00C97B9D" w:rsidP="00245019">
      <w:pPr>
        <w:widowControl w:val="0"/>
        <w:autoSpaceDE w:val="0"/>
        <w:autoSpaceDN w:val="0"/>
        <w:adjustRightInd w:val="0"/>
        <w:spacing w:after="240" w:line="480" w:lineRule="auto"/>
        <w:jc w:val="both"/>
        <w:rPr>
          <w:rFonts w:ascii="Times New Roman" w:hAnsi="Times New Roman" w:cs="Times New Roman"/>
        </w:rPr>
      </w:pPr>
      <w:r w:rsidRPr="00A06D79">
        <w:rPr>
          <w:rFonts w:ascii="Times New Roman" w:hAnsi="Times New Roman" w:cs="Times New Roman"/>
          <w:b/>
        </w:rPr>
        <w:t>Statistical Analysis</w:t>
      </w:r>
      <w:r w:rsidR="00AC118F" w:rsidRPr="00A06D79">
        <w:rPr>
          <w:rFonts w:ascii="Times New Roman" w:hAnsi="Times New Roman" w:cs="Times New Roman"/>
          <w:b/>
        </w:rPr>
        <w:t xml:space="preserve">: </w:t>
      </w:r>
      <w:r w:rsidR="00DC34CC" w:rsidRPr="00A06D79">
        <w:rPr>
          <w:rFonts w:ascii="Times New Roman" w:hAnsi="Times New Roman" w:cs="Times New Roman"/>
        </w:rPr>
        <w:t>The p</w:t>
      </w:r>
      <w:r w:rsidR="00CA74E5" w:rsidRPr="00A06D79">
        <w:rPr>
          <w:rFonts w:ascii="Times New Roman" w:hAnsi="Times New Roman" w:cs="Times New Roman"/>
        </w:rPr>
        <w:t>redictive ability of each dose</w:t>
      </w:r>
      <w:r w:rsidR="00DC34CC" w:rsidRPr="00A06D79">
        <w:rPr>
          <w:rFonts w:ascii="Times New Roman" w:hAnsi="Times New Roman" w:cs="Times New Roman"/>
        </w:rPr>
        <w:t xml:space="preserve"> on</w:t>
      </w:r>
      <w:r w:rsidR="00F47A00" w:rsidRPr="00A06D79">
        <w:rPr>
          <w:rFonts w:ascii="Times New Roman" w:hAnsi="Times New Roman" w:cs="Times New Roman"/>
        </w:rPr>
        <w:t xml:space="preserve"> mortality was assessed.</w:t>
      </w:r>
      <w:r w:rsidR="00CA74E5" w:rsidRPr="00A06D79">
        <w:rPr>
          <w:rFonts w:ascii="Times New Roman" w:hAnsi="Times New Roman" w:cs="Times New Roman"/>
        </w:rPr>
        <w:t xml:space="preserve"> R</w:t>
      </w:r>
      <w:r w:rsidR="00DC34CC" w:rsidRPr="00A06D79">
        <w:rPr>
          <w:rFonts w:ascii="Times New Roman" w:hAnsi="Times New Roman" w:cs="Times New Roman"/>
        </w:rPr>
        <w:t>eceiver operating characteristic (ROC) curves were calculated and the area unde</w:t>
      </w:r>
      <w:r w:rsidR="00521491" w:rsidRPr="00A06D79">
        <w:rPr>
          <w:rFonts w:ascii="Times New Roman" w:hAnsi="Times New Roman" w:cs="Times New Roman"/>
        </w:rPr>
        <w:t>r the curve (AUC) was used</w:t>
      </w:r>
      <w:r w:rsidR="00DC34CC" w:rsidRPr="00A06D79">
        <w:rPr>
          <w:rFonts w:ascii="Times New Roman" w:hAnsi="Times New Roman" w:cs="Times New Roman"/>
        </w:rPr>
        <w:t xml:space="preserve"> as a mea</w:t>
      </w:r>
      <w:r w:rsidR="00521491" w:rsidRPr="00A06D79">
        <w:rPr>
          <w:rFonts w:ascii="Times New Roman" w:hAnsi="Times New Roman" w:cs="Times New Roman"/>
        </w:rPr>
        <w:t xml:space="preserve">sure of discriminative ability and after </w:t>
      </w:r>
      <w:r w:rsidR="00DC34CC" w:rsidRPr="00A06D79">
        <w:rPr>
          <w:rFonts w:ascii="Times New Roman" w:hAnsi="Times New Roman" w:cs="Times New Roman"/>
        </w:rPr>
        <w:t>adjusting for baseline GCS, age, and sex. Because observed AUCs are “</w:t>
      </w:r>
      <w:r w:rsidR="00AA632B" w:rsidRPr="00A06D79">
        <w:rPr>
          <w:rFonts w:ascii="Times New Roman" w:hAnsi="Times New Roman" w:cs="Times New Roman"/>
        </w:rPr>
        <w:t>over fit</w:t>
      </w:r>
      <w:r w:rsidR="00DC34CC" w:rsidRPr="00A06D79">
        <w:rPr>
          <w:rFonts w:ascii="Times New Roman" w:hAnsi="Times New Roman" w:cs="Times New Roman"/>
        </w:rPr>
        <w:t>” to the data, t</w:t>
      </w:r>
      <w:r w:rsidR="00C360AF" w:rsidRPr="00A06D79">
        <w:rPr>
          <w:rFonts w:ascii="Times New Roman" w:hAnsi="Times New Roman" w:cs="Times New Roman"/>
        </w:rPr>
        <w:t xml:space="preserve">o </w:t>
      </w:r>
      <w:r w:rsidR="00C360AF" w:rsidRPr="00A06D79">
        <w:rPr>
          <w:rFonts w:ascii="Times New Roman" w:hAnsi="Times New Roman" w:cs="Times New Roman"/>
        </w:rPr>
        <w:lastRenderedPageBreak/>
        <w:t>determine how well the ICP doses</w:t>
      </w:r>
      <w:r w:rsidR="007F4BEF" w:rsidRPr="00A06D79">
        <w:rPr>
          <w:rFonts w:ascii="Times New Roman" w:hAnsi="Times New Roman" w:cs="Times New Roman"/>
        </w:rPr>
        <w:t xml:space="preserve"> would</w:t>
      </w:r>
      <w:r w:rsidR="00DC34CC" w:rsidRPr="00A06D79">
        <w:rPr>
          <w:rFonts w:ascii="Times New Roman" w:hAnsi="Times New Roman" w:cs="Times New Roman"/>
        </w:rPr>
        <w:t xml:space="preserve"> perform in terms of prediction, 5-fold cross validation (</w:t>
      </w:r>
      <w:r w:rsidR="007F4BEF" w:rsidRPr="00A06D79">
        <w:rPr>
          <w:rFonts w:ascii="Times New Roman" w:hAnsi="Times New Roman" w:cs="Times New Roman"/>
        </w:rPr>
        <w:t>CV) of each covariate adjusted</w:t>
      </w:r>
      <w:r w:rsidR="004C7FDB" w:rsidRPr="00A06D79">
        <w:rPr>
          <w:rFonts w:ascii="Times New Roman" w:hAnsi="Times New Roman" w:cs="Times New Roman"/>
        </w:rPr>
        <w:t xml:space="preserve"> model was performed. </w:t>
      </w:r>
      <w:r w:rsidR="00F47A00" w:rsidRPr="00A06D79">
        <w:rPr>
          <w:rFonts w:ascii="Times New Roman" w:hAnsi="Times New Roman" w:cs="Times New Roman"/>
        </w:rPr>
        <w:t>Cross-</w:t>
      </w:r>
      <w:r w:rsidR="00DC34CC" w:rsidRPr="00A06D79">
        <w:rPr>
          <w:rFonts w:ascii="Times New Roman" w:hAnsi="Times New Roman" w:cs="Times New Roman"/>
        </w:rPr>
        <w:t>vali</w:t>
      </w:r>
      <w:r w:rsidR="00CE5A63" w:rsidRPr="00A06D79">
        <w:rPr>
          <w:rFonts w:ascii="Times New Roman" w:hAnsi="Times New Roman" w:cs="Times New Roman"/>
        </w:rPr>
        <w:t>dated</w:t>
      </w:r>
      <w:r w:rsidR="00324765">
        <w:rPr>
          <w:rFonts w:ascii="Times New Roman" w:hAnsi="Times New Roman" w:cs="Times New Roman"/>
        </w:rPr>
        <w:t xml:space="preserve"> results </w:t>
      </w:r>
      <w:r w:rsidR="00DC34CC" w:rsidRPr="00A06D79">
        <w:rPr>
          <w:rFonts w:ascii="Times New Roman" w:hAnsi="Times New Roman" w:cs="Times New Roman"/>
        </w:rPr>
        <w:t xml:space="preserve">provide an </w:t>
      </w:r>
      <w:r w:rsidR="00A94E64" w:rsidRPr="00A06D79">
        <w:rPr>
          <w:rFonts w:ascii="Times New Roman" w:hAnsi="Times New Roman" w:cs="Times New Roman"/>
        </w:rPr>
        <w:t>estimate of how well the different ICP doses</w:t>
      </w:r>
      <w:r w:rsidR="00DC34CC" w:rsidRPr="00A06D79">
        <w:rPr>
          <w:rFonts w:ascii="Times New Roman" w:hAnsi="Times New Roman" w:cs="Times New Roman"/>
        </w:rPr>
        <w:t xml:space="preserve"> would predict mortality in a new data set. Statistical analyses were performed using SAS 9.3 and R 2.14.2.</w:t>
      </w:r>
    </w:p>
    <w:p w14:paraId="4AD33E3D" w14:textId="77777777" w:rsidR="00E218BD" w:rsidRPr="00A06D79" w:rsidRDefault="00C97B9D" w:rsidP="00AC118F">
      <w:pPr>
        <w:widowControl w:val="0"/>
        <w:autoSpaceDE w:val="0"/>
        <w:autoSpaceDN w:val="0"/>
        <w:adjustRightInd w:val="0"/>
        <w:spacing w:after="240" w:line="480" w:lineRule="auto"/>
        <w:jc w:val="both"/>
        <w:rPr>
          <w:rFonts w:ascii="Times New Roman" w:hAnsi="Times New Roman" w:cs="Times New Roman"/>
          <w:b/>
        </w:rPr>
      </w:pPr>
      <w:r w:rsidRPr="00A06D79">
        <w:rPr>
          <w:rFonts w:ascii="Times New Roman" w:hAnsi="Times New Roman" w:cs="Times New Roman"/>
          <w:b/>
        </w:rPr>
        <w:t>RESULTS</w:t>
      </w:r>
    </w:p>
    <w:p w14:paraId="6D31BEC3" w14:textId="54912A07" w:rsidR="00D50438" w:rsidRPr="00A06D79" w:rsidRDefault="00E218BD" w:rsidP="00AC118F">
      <w:pPr>
        <w:widowControl w:val="0"/>
        <w:autoSpaceDE w:val="0"/>
        <w:autoSpaceDN w:val="0"/>
        <w:adjustRightInd w:val="0"/>
        <w:spacing w:after="240" w:line="480" w:lineRule="auto"/>
        <w:jc w:val="both"/>
        <w:rPr>
          <w:rFonts w:ascii="Times New Roman" w:hAnsi="Times New Roman" w:cs="Times New Roman"/>
          <w:b/>
        </w:rPr>
      </w:pPr>
      <w:r w:rsidRPr="00A06D79">
        <w:rPr>
          <w:rFonts w:ascii="Times New Roman" w:hAnsi="Times New Roman" w:cs="Times New Roman"/>
        </w:rPr>
        <w:t xml:space="preserve">Only the results pertaining to ICP thresholds, doses and ROC </w:t>
      </w:r>
      <w:r w:rsidR="00CA74E5" w:rsidRPr="00A06D79">
        <w:rPr>
          <w:rFonts w:ascii="Times New Roman" w:hAnsi="Times New Roman" w:cs="Times New Roman"/>
        </w:rPr>
        <w:t xml:space="preserve">analysis will be reported here. </w:t>
      </w:r>
      <w:r w:rsidR="00F40853" w:rsidRPr="00A06D79">
        <w:rPr>
          <w:rFonts w:ascii="Times New Roman" w:hAnsi="Times New Roman" w:cs="Times New Roman"/>
        </w:rPr>
        <w:t>A clearly identifiable threshold, based on the set criteria was possible</w:t>
      </w:r>
      <w:r w:rsidR="00785EC8" w:rsidRPr="00A06D79">
        <w:rPr>
          <w:rFonts w:ascii="Times New Roman" w:hAnsi="Times New Roman" w:cs="Times New Roman"/>
        </w:rPr>
        <w:t xml:space="preserve"> in 224 patients (68%)</w:t>
      </w:r>
      <w:r w:rsidR="00F40853" w:rsidRPr="00A06D79">
        <w:rPr>
          <w:rFonts w:ascii="Times New Roman" w:hAnsi="Times New Roman" w:cs="Times New Roman"/>
        </w:rPr>
        <w:t>.</w:t>
      </w:r>
      <w:r w:rsidR="00A9558B" w:rsidRPr="00A06D79">
        <w:rPr>
          <w:rFonts w:ascii="Times New Roman" w:hAnsi="Times New Roman" w:cs="Times New Roman"/>
        </w:rPr>
        <w:t xml:space="preserve"> Mean, median</w:t>
      </w:r>
      <w:r w:rsidR="00326D28" w:rsidRPr="00A06D79">
        <w:rPr>
          <w:rFonts w:ascii="Times New Roman" w:hAnsi="Times New Roman" w:cs="Times New Roman"/>
        </w:rPr>
        <w:t>, interquartile range</w:t>
      </w:r>
      <w:r w:rsidR="00C054EB" w:rsidRPr="00A06D79">
        <w:rPr>
          <w:rFonts w:ascii="Times New Roman" w:hAnsi="Times New Roman" w:cs="Times New Roman"/>
        </w:rPr>
        <w:t xml:space="preserve"> (IQR)</w:t>
      </w:r>
      <w:r w:rsidR="00A9558B" w:rsidRPr="00A06D79">
        <w:rPr>
          <w:rFonts w:ascii="Times New Roman" w:hAnsi="Times New Roman" w:cs="Times New Roman"/>
        </w:rPr>
        <w:t xml:space="preserve"> and standard deviation</w:t>
      </w:r>
      <w:r w:rsidR="00785EC8" w:rsidRPr="00A06D79">
        <w:rPr>
          <w:rFonts w:ascii="Times New Roman" w:hAnsi="Times New Roman" w:cs="Times New Roman"/>
        </w:rPr>
        <w:t xml:space="preserve"> (SD) </w:t>
      </w:r>
      <w:r w:rsidR="00C054EB" w:rsidRPr="00A06D79">
        <w:rPr>
          <w:rFonts w:ascii="Times New Roman" w:hAnsi="Times New Roman" w:cs="Times New Roman"/>
        </w:rPr>
        <w:t xml:space="preserve">for </w:t>
      </w:r>
      <w:r w:rsidR="00FD7923" w:rsidRPr="00A06D79">
        <w:rPr>
          <w:rFonts w:ascii="Times New Roman" w:hAnsi="Times New Roman" w:cs="Times New Roman"/>
        </w:rPr>
        <w:t>the</w:t>
      </w:r>
      <w:r w:rsidR="00A9558B" w:rsidRPr="00A06D79">
        <w:rPr>
          <w:rFonts w:ascii="Times New Roman" w:hAnsi="Times New Roman" w:cs="Times New Roman"/>
        </w:rPr>
        <w:t xml:space="preserve"> ICP</w:t>
      </w:r>
      <w:r w:rsidR="00FD7923" w:rsidRPr="00A06D79">
        <w:rPr>
          <w:rFonts w:ascii="Times New Roman" w:hAnsi="Times New Roman" w:cs="Times New Roman"/>
        </w:rPr>
        <w:t xml:space="preserve"> threshold</w:t>
      </w:r>
      <w:r w:rsidR="00785EC8" w:rsidRPr="00A06D79">
        <w:rPr>
          <w:rFonts w:ascii="Times New Roman" w:hAnsi="Times New Roman" w:cs="Times New Roman"/>
        </w:rPr>
        <w:t xml:space="preserve"> based on </w:t>
      </w:r>
      <w:r w:rsidR="008345AB" w:rsidRPr="00A06D79">
        <w:rPr>
          <w:rFonts w:ascii="Times New Roman" w:hAnsi="Times New Roman" w:cs="Times New Roman"/>
        </w:rPr>
        <w:t>P</w:t>
      </w:r>
      <w:r w:rsidR="00A9558B" w:rsidRPr="00A06D79">
        <w:rPr>
          <w:rFonts w:ascii="Times New Roman" w:hAnsi="Times New Roman" w:cs="Times New Roman"/>
        </w:rPr>
        <w:t>Rx</w:t>
      </w:r>
      <w:r w:rsidR="008A7F92" w:rsidRPr="00A06D79">
        <w:rPr>
          <w:rFonts w:ascii="Times New Roman" w:hAnsi="Times New Roman" w:cs="Times New Roman"/>
        </w:rPr>
        <w:t xml:space="preserve"> were </w:t>
      </w:r>
      <w:r w:rsidR="00C054EB" w:rsidRPr="00A06D79">
        <w:rPr>
          <w:rFonts w:ascii="Times New Roman" w:hAnsi="Times New Roman" w:cs="Times New Roman"/>
        </w:rPr>
        <w:t>25, 24, 20-32,</w:t>
      </w:r>
      <w:r w:rsidR="00CE147E" w:rsidRPr="00A06D79">
        <w:rPr>
          <w:rFonts w:ascii="Times New Roman" w:hAnsi="Times New Roman" w:cs="Times New Roman"/>
        </w:rPr>
        <w:t xml:space="preserve"> and</w:t>
      </w:r>
      <w:r w:rsidR="00C054EB" w:rsidRPr="00A06D79">
        <w:rPr>
          <w:rFonts w:ascii="Times New Roman" w:hAnsi="Times New Roman" w:cs="Times New Roman"/>
        </w:rPr>
        <w:t xml:space="preserve"> 10</w:t>
      </w:r>
      <w:r w:rsidR="00785EC8" w:rsidRPr="00A06D79">
        <w:rPr>
          <w:rFonts w:ascii="Times New Roman" w:hAnsi="Times New Roman" w:cs="Times New Roman"/>
        </w:rPr>
        <w:t xml:space="preserve"> respe</w:t>
      </w:r>
      <w:r w:rsidR="008A7F92" w:rsidRPr="00A06D79">
        <w:rPr>
          <w:rFonts w:ascii="Times New Roman" w:hAnsi="Times New Roman" w:cs="Times New Roman"/>
        </w:rPr>
        <w:t>ctively</w:t>
      </w:r>
      <w:r w:rsidR="000A7E2B" w:rsidRPr="00A06D79">
        <w:rPr>
          <w:rFonts w:ascii="Times New Roman" w:hAnsi="Times New Roman" w:cs="Times New Roman"/>
        </w:rPr>
        <w:t xml:space="preserve">. </w:t>
      </w:r>
      <w:r w:rsidR="00D50438" w:rsidRPr="00A06D79">
        <w:rPr>
          <w:rFonts w:ascii="Times New Roman" w:hAnsi="Times New Roman" w:cs="Times New Roman"/>
        </w:rPr>
        <w:t xml:space="preserve">Separate logistic regression models with mortality as the outcome and dose as the predictor (both alone and adjusted for covariates GCS, age and gender) </w:t>
      </w:r>
      <w:r w:rsidR="00CA74E5" w:rsidRPr="00A06D79">
        <w:rPr>
          <w:rFonts w:ascii="Times New Roman" w:hAnsi="Times New Roman" w:cs="Times New Roman"/>
        </w:rPr>
        <w:t xml:space="preserve">were fit. </w:t>
      </w:r>
      <w:r w:rsidR="00D50438" w:rsidRPr="00A06D79">
        <w:rPr>
          <w:rFonts w:ascii="Times New Roman" w:hAnsi="Times New Roman" w:cs="Times New Roman"/>
        </w:rPr>
        <w:t>In the covariate adjusted logistic regression model, all doses calculated were significantly associated with mortality [D20 (p &lt; 0.0001), D25 (p &lt; 0.0001), and DPRx (p &lt; 0.0001)]. Further, DPRx (0.81, CI 0.74-0.87) was found to have the highest AUC over both D20 (0.75, CI 0.68-0.81) and D25 (0.77, CI 0.70-0.83) indicating it has the best discriminative ability. Cross-validation confirmed the results of the observed AUCs; in the cross-validated model, DPRx was still the best predictor of mortality [DPRx AUC 0.77 (95% CI 0.68-0.89), D20 0.72 (95% CI 0.66-0.81) and D25 0.65 (95% CI 0.56-0.73)].</w:t>
      </w:r>
      <w:r w:rsidR="004C7FDB" w:rsidRPr="00A06D79">
        <w:rPr>
          <w:rFonts w:ascii="Times New Roman" w:hAnsi="Times New Roman" w:cs="Times New Roman"/>
        </w:rPr>
        <w:t xml:space="preserve"> Mean D20 was </w:t>
      </w:r>
      <w:r w:rsidR="008375E8" w:rsidRPr="00A06D79">
        <w:rPr>
          <w:rFonts w:ascii="Times New Roman" w:hAnsi="Times New Roman" w:cs="Times New Roman"/>
        </w:rPr>
        <w:t>1055</w:t>
      </w:r>
      <w:r w:rsidR="00E36253" w:rsidRPr="00A06D79">
        <w:rPr>
          <w:rFonts w:ascii="Times New Roman" w:hAnsi="Times New Roman" w:cs="Times New Roman"/>
        </w:rPr>
        <w:t xml:space="preserve"> mm Hg*hour</w:t>
      </w:r>
      <w:r w:rsidR="008375E8" w:rsidRPr="00A06D79">
        <w:rPr>
          <w:rFonts w:ascii="Times New Roman" w:hAnsi="Times New Roman" w:cs="Times New Roman"/>
        </w:rPr>
        <w:t xml:space="preserve"> versus 478</w:t>
      </w:r>
      <w:r w:rsidR="00663FF6" w:rsidRPr="00A06D79">
        <w:rPr>
          <w:rFonts w:ascii="Times New Roman" w:hAnsi="Times New Roman" w:cs="Times New Roman"/>
        </w:rPr>
        <w:t xml:space="preserve"> mm Hg*hour</w:t>
      </w:r>
      <w:r w:rsidR="008375E8" w:rsidRPr="00A06D79">
        <w:rPr>
          <w:rFonts w:ascii="Times New Roman" w:hAnsi="Times New Roman" w:cs="Times New Roman"/>
        </w:rPr>
        <w:t xml:space="preserve"> for DPRx (p &lt; 0.0001</w:t>
      </w:r>
      <w:r w:rsidR="0064465B" w:rsidRPr="00A06D79">
        <w:rPr>
          <w:rFonts w:ascii="Times New Roman" w:hAnsi="Times New Roman" w:cs="Times New Roman"/>
        </w:rPr>
        <w:t>)</w:t>
      </w:r>
      <w:r w:rsidR="0022474A" w:rsidRPr="00A06D79">
        <w:rPr>
          <w:rFonts w:ascii="Times New Roman" w:hAnsi="Times New Roman" w:cs="Times New Roman"/>
        </w:rPr>
        <w:t xml:space="preserve">. The relationship between ICP doses and </w:t>
      </w:r>
      <w:r w:rsidR="00CB139E" w:rsidRPr="00A06D79">
        <w:rPr>
          <w:rFonts w:ascii="Times New Roman" w:hAnsi="Times New Roman" w:cs="Times New Roman"/>
        </w:rPr>
        <w:t>mean ICP</w:t>
      </w:r>
      <w:r w:rsidR="0022474A" w:rsidRPr="00A06D79">
        <w:rPr>
          <w:rFonts w:ascii="Times New Roman" w:hAnsi="Times New Roman" w:cs="Times New Roman"/>
        </w:rPr>
        <w:t xml:space="preserve"> for all patients</w:t>
      </w:r>
      <w:r w:rsidR="00CB139E" w:rsidRPr="00A06D79">
        <w:rPr>
          <w:rFonts w:ascii="Times New Roman" w:hAnsi="Times New Roman" w:cs="Times New Roman"/>
        </w:rPr>
        <w:t xml:space="preserve"> is</w:t>
      </w:r>
      <w:r w:rsidR="000356AC" w:rsidRPr="00A06D79">
        <w:rPr>
          <w:rFonts w:ascii="Times New Roman" w:hAnsi="Times New Roman" w:cs="Times New Roman"/>
        </w:rPr>
        <w:t xml:space="preserve"> shown in Figure 1</w:t>
      </w:r>
      <w:r w:rsidR="0022474A" w:rsidRPr="00A06D79">
        <w:rPr>
          <w:rFonts w:ascii="Times New Roman" w:hAnsi="Times New Roman" w:cs="Times New Roman"/>
        </w:rPr>
        <w:t>; Figure 2 depicts distribution of DPRx per GOS with a statistically significant higher dose sustained by patients who died.</w:t>
      </w:r>
    </w:p>
    <w:p w14:paraId="52548AE1" w14:textId="77777777" w:rsidR="004010EB" w:rsidRPr="00A06D79" w:rsidRDefault="006B7EEB" w:rsidP="00245019">
      <w:pPr>
        <w:widowControl w:val="0"/>
        <w:autoSpaceDE w:val="0"/>
        <w:autoSpaceDN w:val="0"/>
        <w:adjustRightInd w:val="0"/>
        <w:spacing w:after="240" w:line="480" w:lineRule="auto"/>
        <w:jc w:val="both"/>
        <w:rPr>
          <w:rFonts w:ascii="Times New Roman" w:hAnsi="Times New Roman" w:cs="Times New Roman"/>
          <w:b/>
        </w:rPr>
      </w:pPr>
      <w:r w:rsidRPr="00A06D79">
        <w:rPr>
          <w:rFonts w:ascii="Times New Roman" w:hAnsi="Times New Roman" w:cs="Times New Roman"/>
          <w:b/>
        </w:rPr>
        <w:t>DISCUSSION</w:t>
      </w:r>
    </w:p>
    <w:p w14:paraId="6F0FF021" w14:textId="37F5F1D6" w:rsidR="009B15E6" w:rsidRPr="00A06D79" w:rsidRDefault="00490290" w:rsidP="00245019">
      <w:pPr>
        <w:widowControl w:val="0"/>
        <w:autoSpaceDE w:val="0"/>
        <w:autoSpaceDN w:val="0"/>
        <w:adjustRightInd w:val="0"/>
        <w:spacing w:after="240" w:line="480" w:lineRule="auto"/>
        <w:jc w:val="both"/>
        <w:rPr>
          <w:rFonts w:ascii="Times New Roman" w:hAnsi="Times New Roman" w:cs="Times New Roman"/>
        </w:rPr>
      </w:pPr>
      <w:r w:rsidRPr="00A06D79">
        <w:rPr>
          <w:rFonts w:ascii="Times New Roman" w:hAnsi="Times New Roman" w:cs="Times New Roman"/>
        </w:rPr>
        <w:lastRenderedPageBreak/>
        <w:t>We explored the predictive ability of</w:t>
      </w:r>
      <w:r w:rsidR="00785EC8" w:rsidRPr="00A06D79">
        <w:rPr>
          <w:rFonts w:ascii="Times New Roman" w:hAnsi="Times New Roman" w:cs="Times New Roman"/>
        </w:rPr>
        <w:t xml:space="preserve"> individualized ICP thresholds </w:t>
      </w:r>
      <w:r w:rsidRPr="00A06D79">
        <w:rPr>
          <w:rFonts w:ascii="Times New Roman" w:hAnsi="Times New Roman" w:cs="Times New Roman"/>
        </w:rPr>
        <w:t>based on</w:t>
      </w:r>
      <w:r w:rsidR="00785EC8" w:rsidRPr="00A06D79">
        <w:rPr>
          <w:rFonts w:ascii="Times New Roman" w:hAnsi="Times New Roman" w:cs="Times New Roman"/>
        </w:rPr>
        <w:t xml:space="preserve"> the</w:t>
      </w:r>
      <w:r w:rsidR="009A3539" w:rsidRPr="00A06D79">
        <w:rPr>
          <w:rFonts w:ascii="Times New Roman" w:hAnsi="Times New Roman" w:cs="Times New Roman"/>
        </w:rPr>
        <w:t xml:space="preserve"> pressure reactivity</w:t>
      </w:r>
      <w:r w:rsidR="00785EC8" w:rsidRPr="00A06D79">
        <w:rPr>
          <w:rFonts w:ascii="Times New Roman" w:hAnsi="Times New Roman" w:cs="Times New Roman"/>
        </w:rPr>
        <w:t xml:space="preserve"> index</w:t>
      </w:r>
      <w:r w:rsidRPr="00A06D79">
        <w:rPr>
          <w:rFonts w:ascii="Times New Roman" w:hAnsi="Times New Roman" w:cs="Times New Roman"/>
        </w:rPr>
        <w:t xml:space="preserve">, as compared to </w:t>
      </w:r>
      <w:r w:rsidR="00A94E64" w:rsidRPr="00A06D79">
        <w:rPr>
          <w:rFonts w:ascii="Times New Roman" w:hAnsi="Times New Roman" w:cs="Times New Roman"/>
        </w:rPr>
        <w:t xml:space="preserve">“standard” fixed ICP thresholds. </w:t>
      </w:r>
      <w:r w:rsidRPr="00A06D79">
        <w:rPr>
          <w:rFonts w:ascii="Times New Roman" w:hAnsi="Times New Roman" w:cs="Times New Roman"/>
        </w:rPr>
        <w:t>We found that the</w:t>
      </w:r>
      <w:r w:rsidR="00A94E64" w:rsidRPr="00A06D79">
        <w:rPr>
          <w:rFonts w:ascii="Times New Roman" w:hAnsi="Times New Roman" w:cs="Times New Roman"/>
        </w:rPr>
        <w:t xml:space="preserve"> ICP</w:t>
      </w:r>
      <w:r w:rsidR="00AD417E" w:rsidRPr="00A06D79">
        <w:rPr>
          <w:rFonts w:ascii="Times New Roman" w:hAnsi="Times New Roman" w:cs="Times New Roman"/>
        </w:rPr>
        <w:t xml:space="preserve"> doses derived from</w:t>
      </w:r>
      <w:r w:rsidR="008345AB" w:rsidRPr="00A06D79">
        <w:rPr>
          <w:rFonts w:ascii="Times New Roman" w:hAnsi="Times New Roman" w:cs="Times New Roman"/>
        </w:rPr>
        <w:t xml:space="preserve"> an index</w:t>
      </w:r>
      <w:r w:rsidRPr="00A06D79">
        <w:rPr>
          <w:rFonts w:ascii="Times New Roman" w:hAnsi="Times New Roman" w:cs="Times New Roman"/>
        </w:rPr>
        <w:t xml:space="preserve"> describing the status of cerebrovascular pressure-reactivity</w:t>
      </w:r>
      <w:r w:rsidR="003C5B26" w:rsidRPr="00A06D79">
        <w:rPr>
          <w:rFonts w:ascii="Times New Roman" w:hAnsi="Times New Roman" w:cs="Times New Roman"/>
        </w:rPr>
        <w:t xml:space="preserve"> were stronger</w:t>
      </w:r>
      <w:r w:rsidR="00D332AA" w:rsidRPr="00A06D79">
        <w:rPr>
          <w:rFonts w:ascii="Times New Roman" w:hAnsi="Times New Roman" w:cs="Times New Roman"/>
        </w:rPr>
        <w:t xml:space="preserve"> predictors of 6-month morta</w:t>
      </w:r>
      <w:r w:rsidR="00294247" w:rsidRPr="00A06D79">
        <w:rPr>
          <w:rFonts w:ascii="Times New Roman" w:hAnsi="Times New Roman" w:cs="Times New Roman"/>
        </w:rPr>
        <w:t>lity as compared to doses calculated based on</w:t>
      </w:r>
      <w:r w:rsidR="00D332AA" w:rsidRPr="00A06D79">
        <w:rPr>
          <w:rFonts w:ascii="Times New Roman" w:hAnsi="Times New Roman" w:cs="Times New Roman"/>
        </w:rPr>
        <w:t xml:space="preserve"> the “suggested” ICP threshold of 20 mm Hg and also from a second fixed threshold of 25 mm Hg.</w:t>
      </w:r>
      <w:r w:rsidR="00E1792D" w:rsidRPr="00A06D79">
        <w:rPr>
          <w:rFonts w:ascii="Times New Roman" w:hAnsi="Times New Roman" w:cs="Times New Roman"/>
        </w:rPr>
        <w:t xml:space="preserve"> </w:t>
      </w:r>
      <w:r w:rsidR="00FF762D" w:rsidRPr="00A06D79">
        <w:rPr>
          <w:rFonts w:ascii="Times New Roman" w:hAnsi="Times New Roman" w:cs="Times New Roman"/>
        </w:rPr>
        <w:t>R</w:t>
      </w:r>
      <w:r w:rsidR="009D7DD1" w:rsidRPr="00A06D79">
        <w:rPr>
          <w:rFonts w:ascii="Times New Roman" w:hAnsi="Times New Roman" w:cs="Times New Roman"/>
        </w:rPr>
        <w:t>ecent publications have challenged the traditional understanding on moni</w:t>
      </w:r>
      <w:r w:rsidR="006A7848" w:rsidRPr="00A06D79">
        <w:rPr>
          <w:rFonts w:ascii="Times New Roman" w:hAnsi="Times New Roman" w:cs="Times New Roman"/>
        </w:rPr>
        <w:t>toring and treatment of high intracranial pressure</w:t>
      </w:r>
      <w:r w:rsidR="009D7DD1" w:rsidRPr="00A06D79">
        <w:rPr>
          <w:rFonts w:ascii="Times New Roman" w:hAnsi="Times New Roman" w:cs="Times New Roman"/>
        </w:rPr>
        <w:t>.</w:t>
      </w:r>
      <w:r w:rsidR="00CD2412" w:rsidRPr="00A06D79">
        <w:rPr>
          <w:rFonts w:ascii="Times New Roman" w:hAnsi="Times New Roman" w:cs="Times New Roman"/>
        </w:rPr>
        <w:t xml:space="preserve"> T</w:t>
      </w:r>
      <w:r w:rsidR="00AF202F" w:rsidRPr="00A06D79">
        <w:rPr>
          <w:rFonts w:ascii="Times New Roman" w:hAnsi="Times New Roman" w:cs="Times New Roman"/>
        </w:rPr>
        <w:t xml:space="preserve">he </w:t>
      </w:r>
      <w:r w:rsidR="006B6F0F" w:rsidRPr="00A06D79">
        <w:rPr>
          <w:rFonts w:ascii="Times New Roman" w:hAnsi="Times New Roman" w:cs="Times New Roman"/>
        </w:rPr>
        <w:t>DECRA trial showed that decompressive craniectomy despite effectively reducing</w:t>
      </w:r>
      <w:r w:rsidR="00FE7CA6" w:rsidRPr="00A06D79">
        <w:rPr>
          <w:rFonts w:ascii="Times New Roman" w:hAnsi="Times New Roman" w:cs="Times New Roman"/>
        </w:rPr>
        <w:t xml:space="preserve"> ICP</w:t>
      </w:r>
      <w:r w:rsidR="006B6F0F" w:rsidRPr="00A06D79">
        <w:rPr>
          <w:rFonts w:ascii="Times New Roman" w:hAnsi="Times New Roman" w:cs="Times New Roman"/>
        </w:rPr>
        <w:t>, did not</w:t>
      </w:r>
      <w:r w:rsidR="00FE7CA6" w:rsidRPr="00A06D79">
        <w:rPr>
          <w:rFonts w:ascii="Times New Roman" w:hAnsi="Times New Roman" w:cs="Times New Roman"/>
        </w:rPr>
        <w:t xml:space="preserve"> translate into improved neurologic</w:t>
      </w:r>
      <w:r w:rsidR="001D500D" w:rsidRPr="00A06D79">
        <w:rPr>
          <w:rFonts w:ascii="Times New Roman" w:hAnsi="Times New Roman" w:cs="Times New Roman"/>
        </w:rPr>
        <w:t>al outcomes</w:t>
      </w:r>
      <w:r w:rsidR="00B02AB0">
        <w:rPr>
          <w:rFonts w:ascii="Times New Roman" w:hAnsi="Times New Roman" w:cs="Times New Roman"/>
        </w:rPr>
        <w:t xml:space="preserve"> [5]</w:t>
      </w:r>
      <w:r w:rsidR="007A1FC2" w:rsidRPr="00A06D79">
        <w:rPr>
          <w:rFonts w:ascii="Times New Roman" w:hAnsi="Times New Roman" w:cs="Times New Roman"/>
        </w:rPr>
        <w:t>.</w:t>
      </w:r>
      <w:r w:rsidR="00B02AB0">
        <w:rPr>
          <w:rFonts w:ascii="Times New Roman" w:hAnsi="Times New Roman" w:cs="Times New Roman"/>
        </w:rPr>
        <w:t xml:space="preserve"> </w:t>
      </w:r>
      <w:r w:rsidR="008D737C" w:rsidRPr="00A06D79">
        <w:rPr>
          <w:rFonts w:ascii="Times New Roman" w:hAnsi="Times New Roman" w:cs="Times New Roman"/>
        </w:rPr>
        <w:t>Our findings are</w:t>
      </w:r>
      <w:r w:rsidR="00FD1156" w:rsidRPr="00A06D79">
        <w:rPr>
          <w:rFonts w:ascii="Times New Roman" w:hAnsi="Times New Roman" w:cs="Times New Roman"/>
        </w:rPr>
        <w:t xml:space="preserve"> further</w:t>
      </w:r>
      <w:r w:rsidR="0025741A" w:rsidRPr="00A06D79">
        <w:rPr>
          <w:rFonts w:ascii="Times New Roman" w:hAnsi="Times New Roman" w:cs="Times New Roman"/>
        </w:rPr>
        <w:t xml:space="preserve"> pertinent</w:t>
      </w:r>
      <w:r w:rsidR="00FD1156" w:rsidRPr="00A06D79">
        <w:rPr>
          <w:rFonts w:ascii="Times New Roman" w:hAnsi="Times New Roman" w:cs="Times New Roman"/>
        </w:rPr>
        <w:t xml:space="preserve"> in view of the recent publication of the randomized controlled trial</w:t>
      </w:r>
      <w:r w:rsidR="008D737C" w:rsidRPr="00A06D79">
        <w:rPr>
          <w:rFonts w:ascii="Times New Roman" w:hAnsi="Times New Roman" w:cs="Times New Roman"/>
        </w:rPr>
        <w:t xml:space="preserve"> (RCT)</w:t>
      </w:r>
      <w:r w:rsidR="00FD1156" w:rsidRPr="00A06D79">
        <w:rPr>
          <w:rFonts w:ascii="Times New Roman" w:hAnsi="Times New Roman" w:cs="Times New Roman"/>
        </w:rPr>
        <w:t xml:space="preserve"> of ICP monitoring in severe TBI by Chesnut et al.</w:t>
      </w:r>
      <w:r w:rsidR="00B02AB0">
        <w:rPr>
          <w:rFonts w:ascii="Times New Roman" w:hAnsi="Times New Roman" w:cs="Times New Roman"/>
        </w:rPr>
        <w:t xml:space="preserve"> [4]</w:t>
      </w:r>
      <w:r w:rsidR="00FD1156" w:rsidRPr="00A06D79">
        <w:rPr>
          <w:rFonts w:ascii="Times New Roman" w:hAnsi="Times New Roman" w:cs="Times New Roman"/>
        </w:rPr>
        <w:t xml:space="preserve"> This was the first RCT to compare management of intracranial hypertension based on monitoring and treatment of ICP above the fixed threshold of 20 mm Hg, versus a protocol based on clinical exam and </w:t>
      </w:r>
      <w:r w:rsidR="008D737C" w:rsidRPr="00A06D79">
        <w:rPr>
          <w:rFonts w:ascii="Times New Roman" w:hAnsi="Times New Roman" w:cs="Times New Roman"/>
        </w:rPr>
        <w:t>neuroimaging. N</w:t>
      </w:r>
      <w:r w:rsidR="00FD1156" w:rsidRPr="00A06D79">
        <w:rPr>
          <w:rFonts w:ascii="Times New Roman" w:hAnsi="Times New Roman" w:cs="Times New Roman"/>
        </w:rPr>
        <w:t>o benefit of one protocol over the other</w:t>
      </w:r>
      <w:r w:rsidR="008D737C" w:rsidRPr="00A06D79">
        <w:rPr>
          <w:rFonts w:ascii="Times New Roman" w:hAnsi="Times New Roman" w:cs="Times New Roman"/>
        </w:rPr>
        <w:t xml:space="preserve"> was found</w:t>
      </w:r>
      <w:r w:rsidR="00FD1156" w:rsidRPr="00A06D79">
        <w:rPr>
          <w:rFonts w:ascii="Times New Roman" w:hAnsi="Times New Roman" w:cs="Times New Roman"/>
        </w:rPr>
        <w:t xml:space="preserve">. </w:t>
      </w:r>
      <w:r w:rsidR="000A7E2B" w:rsidRPr="00A06D79">
        <w:rPr>
          <w:rFonts w:ascii="Times New Roman" w:hAnsi="Times New Roman" w:cs="Times New Roman"/>
        </w:rPr>
        <w:t>A</w:t>
      </w:r>
      <w:r w:rsidR="00FD1156" w:rsidRPr="00A06D79">
        <w:rPr>
          <w:rFonts w:ascii="Times New Roman" w:hAnsi="Times New Roman" w:cs="Times New Roman"/>
        </w:rPr>
        <w:t xml:space="preserve">n important aspect in interpreting the results should be the limitation of using </w:t>
      </w:r>
      <w:r w:rsidR="00332571" w:rsidRPr="00A06D79">
        <w:rPr>
          <w:rFonts w:ascii="Times New Roman" w:hAnsi="Times New Roman" w:cs="Times New Roman"/>
        </w:rPr>
        <w:t>fixed, universal ICP thresholds and thus</w:t>
      </w:r>
      <w:r w:rsidR="00FD1156" w:rsidRPr="00A06D79">
        <w:rPr>
          <w:rFonts w:ascii="Times New Roman" w:hAnsi="Times New Roman" w:cs="Times New Roman"/>
        </w:rPr>
        <w:t xml:space="preserve"> disregarding patient-speci</w:t>
      </w:r>
      <w:r w:rsidR="000A7E2B" w:rsidRPr="00A06D79">
        <w:rPr>
          <w:rFonts w:ascii="Times New Roman" w:hAnsi="Times New Roman" w:cs="Times New Roman"/>
        </w:rPr>
        <w:t>fic pathophysiology</w:t>
      </w:r>
      <w:r w:rsidR="00FD1156" w:rsidRPr="00A06D79">
        <w:rPr>
          <w:rFonts w:ascii="Times New Roman" w:hAnsi="Times New Roman" w:cs="Times New Roman"/>
        </w:rPr>
        <w:t>.</w:t>
      </w:r>
      <w:r w:rsidR="00FB330A" w:rsidRPr="00A06D79">
        <w:rPr>
          <w:rFonts w:ascii="Times New Roman" w:hAnsi="Times New Roman" w:cs="Times New Roman"/>
        </w:rPr>
        <w:t xml:space="preserve"> </w:t>
      </w:r>
      <w:r w:rsidR="00A70AC1" w:rsidRPr="00A06D79">
        <w:rPr>
          <w:rFonts w:ascii="Times New Roman" w:hAnsi="Times New Roman" w:cs="Times New Roman"/>
        </w:rPr>
        <w:t xml:space="preserve">We chose </w:t>
      </w:r>
      <w:r w:rsidR="00AA15FA" w:rsidRPr="00A06D79">
        <w:rPr>
          <w:rFonts w:ascii="Times New Roman" w:hAnsi="Times New Roman" w:cs="Times New Roman"/>
        </w:rPr>
        <w:t>to</w:t>
      </w:r>
      <w:r w:rsidR="00A70AC1" w:rsidRPr="00A06D79">
        <w:rPr>
          <w:rFonts w:ascii="Times New Roman" w:hAnsi="Times New Roman" w:cs="Times New Roman"/>
        </w:rPr>
        <w:t xml:space="preserve"> quantify secondary brain injury due to</w:t>
      </w:r>
      <w:r w:rsidR="00AA15FA" w:rsidRPr="00A06D79">
        <w:rPr>
          <w:rFonts w:ascii="Times New Roman" w:hAnsi="Times New Roman" w:cs="Times New Roman"/>
        </w:rPr>
        <w:t xml:space="preserve"> intracranial hypertension</w:t>
      </w:r>
      <w:r w:rsidR="00A70AC1" w:rsidRPr="00A06D79">
        <w:rPr>
          <w:rFonts w:ascii="Times New Roman" w:hAnsi="Times New Roman" w:cs="Times New Roman"/>
        </w:rPr>
        <w:t xml:space="preserve"> by using </w:t>
      </w:r>
      <w:r w:rsidR="00AA15FA" w:rsidRPr="00A06D79">
        <w:rPr>
          <w:rFonts w:ascii="Times New Roman" w:hAnsi="Times New Roman" w:cs="Times New Roman"/>
        </w:rPr>
        <w:t xml:space="preserve">a method that accounts for the cumulative extent and duration of these episodes. The method computes a </w:t>
      </w:r>
      <w:r w:rsidR="00A70AC1" w:rsidRPr="00A06D79">
        <w:rPr>
          <w:rFonts w:ascii="Times New Roman" w:hAnsi="Times New Roman" w:cs="Times New Roman"/>
        </w:rPr>
        <w:t>“dose” of intracranial hypertension</w:t>
      </w:r>
      <w:r w:rsidR="00893C96" w:rsidRPr="00A06D79">
        <w:rPr>
          <w:rFonts w:ascii="Times New Roman" w:hAnsi="Times New Roman" w:cs="Times New Roman"/>
        </w:rPr>
        <w:t xml:space="preserve"> as the cumulative area under the curve</w:t>
      </w:r>
      <w:r w:rsidR="00AA15FA" w:rsidRPr="00A06D79">
        <w:rPr>
          <w:rFonts w:ascii="Times New Roman" w:hAnsi="Times New Roman" w:cs="Times New Roman"/>
        </w:rPr>
        <w:t xml:space="preserve"> above a defined th</w:t>
      </w:r>
      <w:r w:rsidR="000A7E2B" w:rsidRPr="00A06D79">
        <w:rPr>
          <w:rFonts w:ascii="Times New Roman" w:hAnsi="Times New Roman" w:cs="Times New Roman"/>
        </w:rPr>
        <w:t xml:space="preserve">reshold, </w:t>
      </w:r>
      <w:r w:rsidR="00A70AC1" w:rsidRPr="00A06D79">
        <w:rPr>
          <w:rFonts w:ascii="Times New Roman" w:hAnsi="Times New Roman" w:cs="Times New Roman"/>
        </w:rPr>
        <w:t xml:space="preserve">it </w:t>
      </w:r>
      <w:r w:rsidR="00AA15FA" w:rsidRPr="00A06D79">
        <w:rPr>
          <w:rFonts w:ascii="Times New Roman" w:hAnsi="Times New Roman" w:cs="Times New Roman"/>
        </w:rPr>
        <w:t>account</w:t>
      </w:r>
      <w:r w:rsidR="00A70AC1" w:rsidRPr="00A06D79">
        <w:rPr>
          <w:rFonts w:ascii="Times New Roman" w:hAnsi="Times New Roman" w:cs="Times New Roman"/>
        </w:rPr>
        <w:t>s for</w:t>
      </w:r>
      <w:r w:rsidR="00C43DDC" w:rsidRPr="00A06D79">
        <w:rPr>
          <w:rFonts w:ascii="Times New Roman" w:hAnsi="Times New Roman" w:cs="Times New Roman"/>
        </w:rPr>
        <w:t xml:space="preserve"> both the degree </w:t>
      </w:r>
      <w:r w:rsidR="00AA15FA" w:rsidRPr="00A06D79">
        <w:rPr>
          <w:rFonts w:ascii="Times New Roman" w:hAnsi="Times New Roman" w:cs="Times New Roman"/>
        </w:rPr>
        <w:t>and</w:t>
      </w:r>
      <w:r w:rsidR="00C43DDC" w:rsidRPr="00A06D79">
        <w:rPr>
          <w:rFonts w:ascii="Times New Roman" w:hAnsi="Times New Roman" w:cs="Times New Roman"/>
        </w:rPr>
        <w:t xml:space="preserve"> the duration of ICP elevation</w:t>
      </w:r>
      <w:r w:rsidR="00A93805">
        <w:rPr>
          <w:rFonts w:ascii="Times New Roman" w:hAnsi="Times New Roman" w:cs="Times New Roman"/>
        </w:rPr>
        <w:t xml:space="preserve"> [18, 9, 2, 11]</w:t>
      </w:r>
      <w:r w:rsidR="008024ED" w:rsidRPr="00A06D79">
        <w:rPr>
          <w:rFonts w:ascii="Times New Roman" w:hAnsi="Times New Roman" w:cs="Times New Roman"/>
        </w:rPr>
        <w:t>.</w:t>
      </w:r>
      <w:r w:rsidR="00A93805">
        <w:rPr>
          <w:rFonts w:ascii="Times New Roman" w:hAnsi="Times New Roman" w:cs="Times New Roman"/>
          <w:vertAlign w:val="superscript"/>
        </w:rPr>
        <w:t xml:space="preserve"> </w:t>
      </w:r>
      <w:r w:rsidR="00C43DDC" w:rsidRPr="00A06D79">
        <w:rPr>
          <w:rFonts w:ascii="Times New Roman" w:hAnsi="Times New Roman" w:cs="Times New Roman"/>
        </w:rPr>
        <w:t>An additional advantage, as pointed out by Vik et al., is that</w:t>
      </w:r>
      <w:r w:rsidR="00B4088A" w:rsidRPr="00A06D79">
        <w:rPr>
          <w:rFonts w:ascii="Times New Roman" w:hAnsi="Times New Roman" w:cs="Times New Roman"/>
        </w:rPr>
        <w:t xml:space="preserve"> the predictive power of</w:t>
      </w:r>
      <w:r w:rsidR="00C43DDC" w:rsidRPr="00A06D79">
        <w:rPr>
          <w:rFonts w:ascii="Times New Roman" w:hAnsi="Times New Roman" w:cs="Times New Roman"/>
        </w:rPr>
        <w:t xml:space="preserve"> doses for different thresholds can be explored</w:t>
      </w:r>
      <w:r w:rsidR="0069117F" w:rsidRPr="00A06D79">
        <w:rPr>
          <w:rFonts w:ascii="Times New Roman" w:hAnsi="Times New Roman" w:cs="Times New Roman"/>
        </w:rPr>
        <w:t>. Here, we</w:t>
      </w:r>
      <w:r w:rsidR="00737170" w:rsidRPr="00A06D79">
        <w:rPr>
          <w:rFonts w:ascii="Times New Roman" w:hAnsi="Times New Roman" w:cs="Times New Roman"/>
        </w:rPr>
        <w:t xml:space="preserve"> explored different thresholds by calculating </w:t>
      </w:r>
      <w:r w:rsidR="0069117F" w:rsidRPr="00A06D79">
        <w:rPr>
          <w:rFonts w:ascii="Times New Roman" w:hAnsi="Times New Roman" w:cs="Times New Roman"/>
        </w:rPr>
        <w:t>doses</w:t>
      </w:r>
      <w:r w:rsidR="00737170" w:rsidRPr="00A06D79">
        <w:rPr>
          <w:rFonts w:ascii="Times New Roman" w:hAnsi="Times New Roman" w:cs="Times New Roman"/>
        </w:rPr>
        <w:t xml:space="preserve"> based on pressure re</w:t>
      </w:r>
      <w:r w:rsidR="004941C4" w:rsidRPr="00A06D79">
        <w:rPr>
          <w:rFonts w:ascii="Times New Roman" w:hAnsi="Times New Roman" w:cs="Times New Roman"/>
        </w:rPr>
        <w:t>activity</w:t>
      </w:r>
      <w:r w:rsidR="00737170" w:rsidRPr="00A06D79">
        <w:rPr>
          <w:rFonts w:ascii="Times New Roman" w:hAnsi="Times New Roman" w:cs="Times New Roman"/>
        </w:rPr>
        <w:t xml:space="preserve"> and com</w:t>
      </w:r>
      <w:r w:rsidR="00AF0DC8" w:rsidRPr="00A06D79">
        <w:rPr>
          <w:rFonts w:ascii="Times New Roman" w:hAnsi="Times New Roman" w:cs="Times New Roman"/>
        </w:rPr>
        <w:t>paring them against doses derived</w:t>
      </w:r>
      <w:r w:rsidR="00737170" w:rsidRPr="00A06D79">
        <w:rPr>
          <w:rFonts w:ascii="Times New Roman" w:hAnsi="Times New Roman" w:cs="Times New Roman"/>
        </w:rPr>
        <w:t xml:space="preserve"> from the </w:t>
      </w:r>
      <w:r w:rsidR="0069117F" w:rsidRPr="00A06D79">
        <w:rPr>
          <w:rFonts w:ascii="Times New Roman" w:hAnsi="Times New Roman" w:cs="Times New Roman"/>
        </w:rPr>
        <w:t xml:space="preserve">conventionally </w:t>
      </w:r>
      <w:r w:rsidR="0069117F" w:rsidRPr="00A06D79">
        <w:rPr>
          <w:rFonts w:ascii="Times New Roman" w:hAnsi="Times New Roman" w:cs="Times New Roman"/>
        </w:rPr>
        <w:lastRenderedPageBreak/>
        <w:t>accept</w:t>
      </w:r>
      <w:r w:rsidR="00737170" w:rsidRPr="00A06D79">
        <w:rPr>
          <w:rFonts w:ascii="Times New Roman" w:hAnsi="Times New Roman" w:cs="Times New Roman"/>
        </w:rPr>
        <w:t>ed threshold of 20 mm Hg and from</w:t>
      </w:r>
      <w:r w:rsidR="0069117F" w:rsidRPr="00A06D79">
        <w:rPr>
          <w:rFonts w:ascii="Times New Roman" w:hAnsi="Times New Roman" w:cs="Times New Roman"/>
        </w:rPr>
        <w:t xml:space="preserve"> a second fixed threshold of 25 mm Hg since this is the recommended range in the BTF guidelines.</w:t>
      </w:r>
      <w:r w:rsidR="00456A11" w:rsidRPr="00A06D79">
        <w:rPr>
          <w:rFonts w:ascii="Times New Roman" w:hAnsi="Times New Roman" w:cs="Times New Roman"/>
        </w:rPr>
        <w:t xml:space="preserve"> To our knowledge this</w:t>
      </w:r>
      <w:r w:rsidR="00B36790" w:rsidRPr="00A06D79">
        <w:rPr>
          <w:rFonts w:ascii="Times New Roman" w:hAnsi="Times New Roman" w:cs="Times New Roman"/>
        </w:rPr>
        <w:t xml:space="preserve"> is the first report in </w:t>
      </w:r>
      <w:r w:rsidR="00456A11" w:rsidRPr="00A06D79">
        <w:rPr>
          <w:rFonts w:ascii="Times New Roman" w:hAnsi="Times New Roman" w:cs="Times New Roman"/>
        </w:rPr>
        <w:t>attempt</w:t>
      </w:r>
      <w:r w:rsidR="00B36790" w:rsidRPr="00A06D79">
        <w:rPr>
          <w:rFonts w:ascii="Times New Roman" w:hAnsi="Times New Roman" w:cs="Times New Roman"/>
        </w:rPr>
        <w:t>ing</w:t>
      </w:r>
      <w:r w:rsidR="00456A11" w:rsidRPr="00A06D79">
        <w:rPr>
          <w:rFonts w:ascii="Times New Roman" w:hAnsi="Times New Roman" w:cs="Times New Roman"/>
        </w:rPr>
        <w:t xml:space="preserve"> </w:t>
      </w:r>
      <w:r w:rsidR="004941C4" w:rsidRPr="00A06D79">
        <w:rPr>
          <w:rFonts w:ascii="Times New Roman" w:hAnsi="Times New Roman" w:cs="Times New Roman"/>
        </w:rPr>
        <w:t>determination of individualized</w:t>
      </w:r>
      <w:r w:rsidR="00456A11" w:rsidRPr="00A06D79">
        <w:rPr>
          <w:rFonts w:ascii="Times New Roman" w:hAnsi="Times New Roman" w:cs="Times New Roman"/>
        </w:rPr>
        <w:t xml:space="preserve"> patient-specific ICP thresholds in patients with severe TBI</w:t>
      </w:r>
      <w:r w:rsidR="00B36790" w:rsidRPr="00A06D79">
        <w:rPr>
          <w:rFonts w:ascii="Times New Roman" w:hAnsi="Times New Roman" w:cs="Times New Roman"/>
        </w:rPr>
        <w:t>, using</w:t>
      </w:r>
      <w:r w:rsidR="00456A11" w:rsidRPr="00A06D79">
        <w:rPr>
          <w:rFonts w:ascii="Times New Roman" w:hAnsi="Times New Roman" w:cs="Times New Roman"/>
        </w:rPr>
        <w:t xml:space="preserve"> these thresholds to quant</w:t>
      </w:r>
      <w:r w:rsidR="00B36790" w:rsidRPr="00A06D79">
        <w:rPr>
          <w:rFonts w:ascii="Times New Roman" w:hAnsi="Times New Roman" w:cs="Times New Roman"/>
        </w:rPr>
        <w:t>ify ICP dose per patient</w:t>
      </w:r>
      <w:r w:rsidR="005979E3" w:rsidRPr="00A06D79">
        <w:rPr>
          <w:rFonts w:ascii="Times New Roman" w:hAnsi="Times New Roman" w:cs="Times New Roman"/>
        </w:rPr>
        <w:t>,</w:t>
      </w:r>
      <w:r w:rsidR="00B36790" w:rsidRPr="00A06D79">
        <w:rPr>
          <w:rFonts w:ascii="Times New Roman" w:hAnsi="Times New Roman" w:cs="Times New Roman"/>
        </w:rPr>
        <w:t xml:space="preserve"> and comparing</w:t>
      </w:r>
      <w:r w:rsidR="00456A11" w:rsidRPr="00A06D79">
        <w:rPr>
          <w:rFonts w:ascii="Times New Roman" w:hAnsi="Times New Roman" w:cs="Times New Roman"/>
        </w:rPr>
        <w:t xml:space="preserve"> these doses to</w:t>
      </w:r>
      <w:r w:rsidR="00B36790" w:rsidRPr="00A06D79">
        <w:rPr>
          <w:rFonts w:ascii="Times New Roman" w:hAnsi="Times New Roman" w:cs="Times New Roman"/>
        </w:rPr>
        <w:t xml:space="preserve"> the</w:t>
      </w:r>
      <w:r w:rsidR="00456A11" w:rsidRPr="00A06D79">
        <w:rPr>
          <w:rFonts w:ascii="Times New Roman" w:hAnsi="Times New Roman" w:cs="Times New Roman"/>
        </w:rPr>
        <w:t xml:space="preserve"> ones derived from the currently accepted, generic thresholds of 20-25 mm Hg.</w:t>
      </w:r>
      <w:r w:rsidR="003D0266" w:rsidRPr="00A06D79">
        <w:rPr>
          <w:rFonts w:ascii="Times New Roman" w:hAnsi="Times New Roman" w:cs="Times New Roman"/>
        </w:rPr>
        <w:t xml:space="preserve"> </w:t>
      </w:r>
      <w:r w:rsidR="00C77270" w:rsidRPr="00A06D79">
        <w:rPr>
          <w:rFonts w:ascii="Times New Roman" w:hAnsi="Times New Roman" w:cs="Times New Roman"/>
        </w:rPr>
        <w:t>It should be noted here than the mean dose as calculated by the threshold of 20 mmHg was significantly larger</w:t>
      </w:r>
      <w:r w:rsidR="003D0266" w:rsidRPr="00A06D79">
        <w:rPr>
          <w:rFonts w:ascii="Times New Roman" w:hAnsi="Times New Roman" w:cs="Times New Roman"/>
        </w:rPr>
        <w:t>, in fact it was double,</w:t>
      </w:r>
      <w:r w:rsidR="00C77270" w:rsidRPr="00A06D79">
        <w:rPr>
          <w:rFonts w:ascii="Times New Roman" w:hAnsi="Times New Roman" w:cs="Times New Roman"/>
        </w:rPr>
        <w:t xml:space="preserve"> than the mean dose as derived based on</w:t>
      </w:r>
      <w:r w:rsidR="00496A7E" w:rsidRPr="00A06D79">
        <w:rPr>
          <w:rFonts w:ascii="Times New Roman" w:hAnsi="Times New Roman" w:cs="Times New Roman"/>
        </w:rPr>
        <w:t xml:space="preserve"> disturbed</w:t>
      </w:r>
      <w:r w:rsidR="00C77270" w:rsidRPr="00A06D79">
        <w:rPr>
          <w:rFonts w:ascii="Times New Roman" w:hAnsi="Times New Roman" w:cs="Times New Roman"/>
        </w:rPr>
        <w:t xml:space="preserve"> PRx</w:t>
      </w:r>
      <w:r w:rsidR="00332571" w:rsidRPr="00A06D79">
        <w:rPr>
          <w:rFonts w:ascii="Times New Roman" w:hAnsi="Times New Roman" w:cs="Times New Roman"/>
        </w:rPr>
        <w:t>;</w:t>
      </w:r>
      <w:r w:rsidR="003D0266" w:rsidRPr="00A06D79">
        <w:rPr>
          <w:rFonts w:ascii="Times New Roman" w:hAnsi="Times New Roman" w:cs="Times New Roman"/>
        </w:rPr>
        <w:t xml:space="preserve"> nevertheless DPRx was a better predictor of mortality,</w:t>
      </w:r>
      <w:r w:rsidR="00332571" w:rsidRPr="00A06D79">
        <w:rPr>
          <w:rFonts w:ascii="Times New Roman" w:hAnsi="Times New Roman" w:cs="Times New Roman"/>
        </w:rPr>
        <w:t xml:space="preserve"> suggesting that is not necessarily the absolute dose that affects outcome but it is intracranial hypertension in the face of ineffective pressure reactivity.</w:t>
      </w:r>
    </w:p>
    <w:p w14:paraId="48099305" w14:textId="77777777" w:rsidR="00EB6518" w:rsidRPr="00A06D79" w:rsidRDefault="00BF7F67" w:rsidP="00B54CE3">
      <w:pPr>
        <w:widowControl w:val="0"/>
        <w:autoSpaceDE w:val="0"/>
        <w:autoSpaceDN w:val="0"/>
        <w:adjustRightInd w:val="0"/>
        <w:spacing w:after="240" w:line="480" w:lineRule="auto"/>
        <w:jc w:val="both"/>
        <w:rPr>
          <w:rFonts w:ascii="Times New Roman" w:hAnsi="Times New Roman" w:cs="Times New Roman"/>
          <w:b/>
        </w:rPr>
      </w:pPr>
      <w:r w:rsidRPr="00A06D79">
        <w:rPr>
          <w:rFonts w:ascii="Times New Roman" w:hAnsi="Times New Roman" w:cs="Times New Roman"/>
        </w:rPr>
        <w:t>We were able to identify a PRx-based ICP threshold in 2/3 of our patients;</w:t>
      </w:r>
      <w:r w:rsidR="00FF762D" w:rsidRPr="00A06D79">
        <w:rPr>
          <w:rFonts w:ascii="Times New Roman" w:hAnsi="Times New Roman" w:cs="Times New Roman"/>
        </w:rPr>
        <w:t xml:space="preserve"> a</w:t>
      </w:r>
      <w:r w:rsidR="009B15E6" w:rsidRPr="00A06D79">
        <w:rPr>
          <w:rFonts w:ascii="Times New Roman" w:hAnsi="Times New Roman" w:cs="Times New Roman"/>
        </w:rPr>
        <w:t>part from</w:t>
      </w:r>
      <w:r w:rsidR="00D94461" w:rsidRPr="00A06D79">
        <w:rPr>
          <w:rFonts w:ascii="Times New Roman" w:hAnsi="Times New Roman" w:cs="Times New Roman"/>
        </w:rPr>
        <w:t xml:space="preserve"> technical limitations,</w:t>
      </w:r>
      <w:r w:rsidR="009B15E6" w:rsidRPr="00A06D79">
        <w:rPr>
          <w:rFonts w:ascii="Times New Roman" w:hAnsi="Times New Roman" w:cs="Times New Roman"/>
        </w:rPr>
        <w:t xml:space="preserve"> inability to identify a threshold </w:t>
      </w:r>
      <w:r w:rsidR="007F117D" w:rsidRPr="00A06D79">
        <w:rPr>
          <w:rFonts w:ascii="Times New Roman" w:hAnsi="Times New Roman" w:cs="Times New Roman"/>
        </w:rPr>
        <w:t>could be physiologically interpreted as</w:t>
      </w:r>
      <w:r w:rsidR="009B15E6" w:rsidRPr="00A06D79">
        <w:rPr>
          <w:rFonts w:ascii="Times New Roman" w:hAnsi="Times New Roman" w:cs="Times New Roman"/>
        </w:rPr>
        <w:t xml:space="preserve"> a state</w:t>
      </w:r>
      <w:r w:rsidR="007F117D" w:rsidRPr="00A06D79">
        <w:rPr>
          <w:rFonts w:ascii="Times New Roman" w:hAnsi="Times New Roman" w:cs="Times New Roman"/>
        </w:rPr>
        <w:t xml:space="preserve"> of dissociation between </w:t>
      </w:r>
      <w:r w:rsidR="007B2554" w:rsidRPr="00A06D79">
        <w:rPr>
          <w:rFonts w:ascii="Times New Roman" w:hAnsi="Times New Roman" w:cs="Times New Roman"/>
        </w:rPr>
        <w:t>cerebrovascular pres</w:t>
      </w:r>
      <w:r w:rsidR="00445AD3" w:rsidRPr="00A06D79">
        <w:rPr>
          <w:rFonts w:ascii="Times New Roman" w:hAnsi="Times New Roman" w:cs="Times New Roman"/>
        </w:rPr>
        <w:t>sure reactivity and mean intracranial pressure</w:t>
      </w:r>
      <w:r w:rsidR="0091303A" w:rsidRPr="00A06D79">
        <w:rPr>
          <w:rFonts w:ascii="Times New Roman" w:hAnsi="Times New Roman" w:cs="Times New Roman"/>
        </w:rPr>
        <w:t>.</w:t>
      </w:r>
      <w:r w:rsidR="00FF762D" w:rsidRPr="00A06D79">
        <w:rPr>
          <w:rFonts w:ascii="Times New Roman" w:hAnsi="Times New Roman" w:cs="Times New Roman"/>
        </w:rPr>
        <w:t xml:space="preserve"> We conclude that t</w:t>
      </w:r>
      <w:r w:rsidR="00DB73A8" w:rsidRPr="00A06D79">
        <w:rPr>
          <w:rFonts w:ascii="Times New Roman" w:hAnsi="Times New Roman" w:cs="Times New Roman"/>
        </w:rPr>
        <w:t xml:space="preserve">he predictive ability of individualized ICP thresholds based on the continuous monitoring of cerebrovascular pressure reactivity is stronger than fixed thresholds of 20 and 25 mm Hg, in a large single-center database of severe TBI patients. </w:t>
      </w:r>
      <w:r w:rsidR="00D13998" w:rsidRPr="00A06D79">
        <w:rPr>
          <w:rFonts w:ascii="Times New Roman" w:hAnsi="Times New Roman" w:cs="Times New Roman"/>
        </w:rPr>
        <w:t>Monitoring of the pressure reactivity index could supplement intracranial pressure monitoring by offering patient-specific</w:t>
      </w:r>
      <w:r w:rsidR="006D079B" w:rsidRPr="00A06D79">
        <w:rPr>
          <w:rFonts w:ascii="Times New Roman" w:hAnsi="Times New Roman" w:cs="Times New Roman"/>
        </w:rPr>
        <w:t xml:space="preserve"> pathophysiologic information.</w:t>
      </w:r>
    </w:p>
    <w:p w14:paraId="69ED278D" w14:textId="77777777" w:rsidR="00AA11F7" w:rsidRDefault="00AA11F7" w:rsidP="00B54CE3">
      <w:pPr>
        <w:widowControl w:val="0"/>
        <w:autoSpaceDE w:val="0"/>
        <w:autoSpaceDN w:val="0"/>
        <w:adjustRightInd w:val="0"/>
        <w:spacing w:after="240" w:line="480" w:lineRule="auto"/>
        <w:jc w:val="both"/>
        <w:rPr>
          <w:rFonts w:ascii="Times New Roman" w:hAnsi="Times New Roman" w:cs="Times New Roman"/>
          <w:b/>
        </w:rPr>
      </w:pPr>
    </w:p>
    <w:p w14:paraId="73C07873" w14:textId="3259F86A" w:rsidR="00B54CE3" w:rsidRDefault="00130936" w:rsidP="00B54CE3">
      <w:pPr>
        <w:widowControl w:val="0"/>
        <w:autoSpaceDE w:val="0"/>
        <w:autoSpaceDN w:val="0"/>
        <w:adjustRightInd w:val="0"/>
        <w:spacing w:after="240" w:line="480" w:lineRule="auto"/>
        <w:jc w:val="both"/>
        <w:rPr>
          <w:rFonts w:ascii="Times New Roman" w:hAnsi="Times New Roman" w:cs="Times New Roman"/>
          <w:b/>
        </w:rPr>
      </w:pPr>
      <w:r>
        <w:rPr>
          <w:rFonts w:ascii="Times New Roman" w:hAnsi="Times New Roman" w:cs="Times New Roman"/>
          <w:b/>
        </w:rPr>
        <w:t>ACKNOWLEDGEMENTS</w:t>
      </w:r>
    </w:p>
    <w:p w14:paraId="1AA8D73F" w14:textId="77777777" w:rsidR="005A7433" w:rsidRDefault="00B54CE3" w:rsidP="005A7433">
      <w:pPr>
        <w:widowControl w:val="0"/>
        <w:autoSpaceDE w:val="0"/>
        <w:autoSpaceDN w:val="0"/>
        <w:adjustRightInd w:val="0"/>
        <w:spacing w:after="240" w:line="480" w:lineRule="auto"/>
        <w:jc w:val="both"/>
        <w:rPr>
          <w:rFonts w:ascii="Times New Roman" w:hAnsi="Times New Roman" w:cs="Times New Roman"/>
          <w:b/>
        </w:rPr>
      </w:pPr>
      <w:r w:rsidRPr="002F741E">
        <w:rPr>
          <w:rFonts w:ascii="Times New Roman" w:hAnsi="Times New Roman" w:cs="Times New Roman"/>
        </w:rPr>
        <w:t xml:space="preserve">The authors acknowledge great support from Addenbrooke’s Hospital Neurocritical Care </w:t>
      </w:r>
      <w:r w:rsidRPr="002F741E">
        <w:rPr>
          <w:rFonts w:ascii="Times New Roman" w:hAnsi="Times New Roman" w:cs="Times New Roman"/>
        </w:rPr>
        <w:lastRenderedPageBreak/>
        <w:t>Unit staff and Academic Neurosurgical Unit registrars, without whose help the collec</w:t>
      </w:r>
      <w:r>
        <w:rPr>
          <w:rFonts w:ascii="Times New Roman" w:hAnsi="Times New Roman" w:cs="Times New Roman"/>
        </w:rPr>
        <w:t xml:space="preserve">tion of computerized data </w:t>
      </w:r>
      <w:r w:rsidRPr="002F741E">
        <w:rPr>
          <w:rFonts w:ascii="Times New Roman" w:hAnsi="Times New Roman" w:cs="Times New Roman"/>
        </w:rPr>
        <w:t>would</w:t>
      </w:r>
      <w:r>
        <w:rPr>
          <w:rFonts w:ascii="Times New Roman" w:hAnsi="Times New Roman" w:cs="Times New Roman"/>
        </w:rPr>
        <w:t xml:space="preserve"> never</w:t>
      </w:r>
      <w:r w:rsidRPr="002F741E">
        <w:rPr>
          <w:rFonts w:ascii="Times New Roman" w:hAnsi="Times New Roman" w:cs="Times New Roman"/>
        </w:rPr>
        <w:t xml:space="preserve"> have succeeded.</w:t>
      </w:r>
    </w:p>
    <w:p w14:paraId="3E784E87" w14:textId="77777777" w:rsidR="005A7433" w:rsidRDefault="005A7433" w:rsidP="005A7433">
      <w:pPr>
        <w:widowControl w:val="0"/>
        <w:autoSpaceDE w:val="0"/>
        <w:autoSpaceDN w:val="0"/>
        <w:adjustRightInd w:val="0"/>
        <w:spacing w:after="240" w:line="480" w:lineRule="auto"/>
        <w:jc w:val="both"/>
        <w:rPr>
          <w:rFonts w:ascii="Times New Roman" w:hAnsi="Times New Roman" w:cs="Times New Roman"/>
          <w:b/>
        </w:rPr>
      </w:pPr>
    </w:p>
    <w:p w14:paraId="72268023" w14:textId="5A565E9B" w:rsidR="006349A4" w:rsidRDefault="006349A4" w:rsidP="005A7433">
      <w:pPr>
        <w:widowControl w:val="0"/>
        <w:autoSpaceDE w:val="0"/>
        <w:autoSpaceDN w:val="0"/>
        <w:adjustRightInd w:val="0"/>
        <w:spacing w:after="240" w:line="480" w:lineRule="auto"/>
        <w:jc w:val="both"/>
        <w:rPr>
          <w:rFonts w:ascii="Times New Roman" w:hAnsi="Times New Roman" w:cs="Times New Roman"/>
          <w:b/>
        </w:rPr>
      </w:pPr>
      <w:r w:rsidRPr="00FB330A">
        <w:rPr>
          <w:rFonts w:ascii="Times New Roman" w:hAnsi="Times New Roman" w:cs="Times New Roman"/>
          <w:b/>
        </w:rPr>
        <w:t>REFERENCES:</w:t>
      </w:r>
    </w:p>
    <w:p w14:paraId="3B6E618F" w14:textId="77777777" w:rsidR="00D421A4" w:rsidRPr="00C21403" w:rsidRDefault="00D421A4" w:rsidP="00D421A4">
      <w:pPr>
        <w:pStyle w:val="ListParagraph"/>
        <w:numPr>
          <w:ilvl w:val="0"/>
          <w:numId w:val="6"/>
        </w:numPr>
        <w:jc w:val="both"/>
        <w:rPr>
          <w:rFonts w:ascii="Times New Roman" w:hAnsi="Times New Roman" w:cs="Times New Roman"/>
          <w:color w:val="262626"/>
        </w:rPr>
      </w:pPr>
      <w:r w:rsidRPr="00C21403">
        <w:rPr>
          <w:rFonts w:ascii="Times New Roman" w:hAnsi="Times New Roman" w:cs="Times New Roman"/>
          <w:color w:val="262626"/>
        </w:rPr>
        <w:t>Balestreri M, Czosnyka M, Hutchinson PJ,</w:t>
      </w:r>
      <w:r>
        <w:rPr>
          <w:rFonts w:ascii="Times New Roman" w:hAnsi="Times New Roman" w:cs="Times New Roman"/>
          <w:color w:val="262626"/>
        </w:rPr>
        <w:t xml:space="preserve"> </w:t>
      </w:r>
      <w:r w:rsidRPr="00C21403">
        <w:rPr>
          <w:rFonts w:ascii="Times New Roman" w:hAnsi="Times New Roman" w:cs="Times New Roman"/>
        </w:rPr>
        <w:t>Steiner LA, Hi</w:t>
      </w:r>
      <w:r>
        <w:rPr>
          <w:rFonts w:ascii="Times New Roman" w:hAnsi="Times New Roman" w:cs="Times New Roman"/>
        </w:rPr>
        <w:t>ler M, Smielewski P, Pickard JD (2006)</w:t>
      </w:r>
      <w:r w:rsidRPr="00C21403">
        <w:rPr>
          <w:rFonts w:ascii="Times New Roman" w:hAnsi="Times New Roman" w:cs="Times New Roman"/>
        </w:rPr>
        <w:t xml:space="preserve"> Im</w:t>
      </w:r>
      <w:r w:rsidRPr="00C21403">
        <w:rPr>
          <w:rFonts w:ascii="Times New Roman" w:hAnsi="Times New Roman" w:cs="Times New Roman"/>
          <w:color w:val="262626"/>
        </w:rPr>
        <w:t>pact of intracranial pressure and cerebral perfusion pressure on severe disability and mortality after h</w:t>
      </w:r>
      <w:r>
        <w:rPr>
          <w:rFonts w:ascii="Times New Roman" w:hAnsi="Times New Roman" w:cs="Times New Roman"/>
          <w:color w:val="262626"/>
        </w:rPr>
        <w:t xml:space="preserve">ead injury. Neurocrit Care </w:t>
      </w:r>
      <w:r w:rsidRPr="00C21403">
        <w:rPr>
          <w:rFonts w:ascii="Times New Roman" w:hAnsi="Times New Roman" w:cs="Times New Roman"/>
          <w:color w:val="262626"/>
        </w:rPr>
        <w:t>4:8-13</w:t>
      </w:r>
    </w:p>
    <w:p w14:paraId="14A175CE" w14:textId="77777777" w:rsidR="00D421A4" w:rsidRPr="00CE0679" w:rsidRDefault="00D421A4" w:rsidP="00D421A4">
      <w:pPr>
        <w:pStyle w:val="ListParagraph"/>
        <w:numPr>
          <w:ilvl w:val="0"/>
          <w:numId w:val="6"/>
        </w:numPr>
        <w:jc w:val="both"/>
        <w:rPr>
          <w:rFonts w:ascii="Times New Roman" w:hAnsi="Times New Roman" w:cs="Times New Roman"/>
          <w:color w:val="262626"/>
        </w:rPr>
      </w:pPr>
      <w:r w:rsidRPr="00C21403">
        <w:rPr>
          <w:rFonts w:ascii="Times New Roman" w:hAnsi="Times New Roman" w:cs="Times New Roman"/>
        </w:rPr>
        <w:t>Barton CW, He</w:t>
      </w:r>
      <w:r>
        <w:rPr>
          <w:rFonts w:ascii="Times New Roman" w:hAnsi="Times New Roman" w:cs="Times New Roman"/>
        </w:rPr>
        <w:t>mphill JC, Morabito D, Manley G (2005)</w:t>
      </w:r>
      <w:r w:rsidRPr="00C21403">
        <w:rPr>
          <w:rFonts w:ascii="Times New Roman" w:hAnsi="Times New Roman" w:cs="Times New Roman"/>
        </w:rPr>
        <w:t xml:space="preserve"> A novel method of evaluating the impact of secondary brain insults on functional outcomes in traumatic brain-injured patients. </w:t>
      </w:r>
      <w:r w:rsidRPr="00C21403">
        <w:rPr>
          <w:rFonts w:ascii="Times New Roman" w:hAnsi="Times New Roman" w:cs="Times New Roman"/>
          <w:bCs/>
        </w:rPr>
        <w:t>Acad Emerg Med 12</w:t>
      </w:r>
      <w:r>
        <w:rPr>
          <w:rFonts w:ascii="Times New Roman" w:hAnsi="Times New Roman" w:cs="Times New Roman"/>
          <w:bCs/>
        </w:rPr>
        <w:t>:1–6</w:t>
      </w:r>
    </w:p>
    <w:p w14:paraId="113124EC" w14:textId="77777777" w:rsidR="00D421A4" w:rsidRPr="00CE0679" w:rsidRDefault="00D421A4" w:rsidP="00D421A4">
      <w:pPr>
        <w:pStyle w:val="ListParagraph"/>
        <w:numPr>
          <w:ilvl w:val="0"/>
          <w:numId w:val="6"/>
        </w:numPr>
        <w:jc w:val="both"/>
        <w:rPr>
          <w:rFonts w:ascii="Times New Roman" w:hAnsi="Times New Roman" w:cs="Times New Roman"/>
          <w:color w:val="262626"/>
        </w:rPr>
      </w:pPr>
      <w:r w:rsidRPr="00CE0679">
        <w:rPr>
          <w:rFonts w:ascii="Times New Roman" w:hAnsi="Times New Roman" w:cs="Times New Roman"/>
        </w:rPr>
        <w:t>Bratton SL, Chestnut RM, Ghajar J, McConnell Hammond FF, Harris OA, Hartl R</w:t>
      </w:r>
      <w:r>
        <w:rPr>
          <w:rFonts w:ascii="Times New Roman" w:hAnsi="Times New Roman" w:cs="Times New Roman"/>
        </w:rPr>
        <w:t xml:space="preserve"> et al.</w:t>
      </w:r>
      <w:r w:rsidRPr="00CE0679">
        <w:rPr>
          <w:rFonts w:ascii="Times New Roman" w:hAnsi="Times New Roman" w:cs="Times New Roman"/>
        </w:rPr>
        <w:t xml:space="preserve"> (2007) </w:t>
      </w:r>
      <w:r w:rsidRPr="00CE0679">
        <w:rPr>
          <w:rFonts w:ascii="Times New Roman" w:hAnsi="Times New Roman" w:cs="Times New Roman"/>
          <w:bCs/>
        </w:rPr>
        <w:t xml:space="preserve">Guidelines for the management of severe traumatic brain injury. VIII. Intracranial pressure thresholds. </w:t>
      </w:r>
      <w:r w:rsidRPr="00CE0679">
        <w:rPr>
          <w:rFonts w:ascii="Times New Roman" w:hAnsi="Times New Roman" w:cs="Times New Roman"/>
        </w:rPr>
        <w:t>J Neurotrauma. 24 Suppl 1</w:t>
      </w:r>
      <w:r w:rsidRPr="00CE0679">
        <w:rPr>
          <w:rFonts w:ascii="Times New Roman" w:hAnsi="Times New Roman" w:cs="Times New Roman"/>
          <w:b/>
        </w:rPr>
        <w:t>:</w:t>
      </w:r>
      <w:r w:rsidRPr="00CE0679">
        <w:rPr>
          <w:rFonts w:ascii="Times New Roman" w:hAnsi="Times New Roman" w:cs="Times New Roman"/>
        </w:rPr>
        <w:t>S55-58</w:t>
      </w:r>
    </w:p>
    <w:p w14:paraId="25623758" w14:textId="77777777" w:rsidR="00D421A4" w:rsidRPr="00CE0679" w:rsidRDefault="00D421A4" w:rsidP="00D421A4">
      <w:pPr>
        <w:pStyle w:val="ListParagraph"/>
        <w:numPr>
          <w:ilvl w:val="0"/>
          <w:numId w:val="6"/>
        </w:numPr>
        <w:jc w:val="both"/>
        <w:rPr>
          <w:rFonts w:ascii="Times New Roman" w:hAnsi="Times New Roman" w:cs="Times New Roman"/>
          <w:color w:val="262626"/>
        </w:rPr>
      </w:pPr>
      <w:r w:rsidRPr="00CE0679">
        <w:rPr>
          <w:rFonts w:ascii="Times New Roman" w:hAnsi="Times New Roman" w:cs="Times New Roman"/>
          <w:bCs/>
        </w:rPr>
        <w:t>Chesnut RM</w:t>
      </w:r>
      <w:r w:rsidRPr="00CE0679">
        <w:rPr>
          <w:rFonts w:ascii="Times New Roman" w:hAnsi="Times New Roman" w:cs="Times New Roman"/>
        </w:rPr>
        <w:t xml:space="preserve">, </w:t>
      </w:r>
      <w:r w:rsidRPr="00CE0679">
        <w:rPr>
          <w:rFonts w:ascii="Times New Roman" w:hAnsi="Times New Roman" w:cs="Times New Roman"/>
          <w:bCs/>
        </w:rPr>
        <w:t>Temkin N</w:t>
      </w:r>
      <w:r w:rsidRPr="00CE0679">
        <w:rPr>
          <w:rFonts w:ascii="Times New Roman" w:hAnsi="Times New Roman" w:cs="Times New Roman"/>
        </w:rPr>
        <w:t xml:space="preserve">, </w:t>
      </w:r>
      <w:r w:rsidRPr="00CE0679">
        <w:rPr>
          <w:rFonts w:ascii="Times New Roman" w:hAnsi="Times New Roman" w:cs="Times New Roman"/>
          <w:bCs/>
        </w:rPr>
        <w:t>Carney N</w:t>
      </w:r>
      <w:r w:rsidRPr="00CE0679">
        <w:rPr>
          <w:rFonts w:ascii="Times New Roman" w:hAnsi="Times New Roman" w:cs="Times New Roman"/>
        </w:rPr>
        <w:t xml:space="preserve">, Dikmen S, Rondina C, Videtta W, et al. (2012) </w:t>
      </w:r>
      <w:r w:rsidRPr="00CE0679">
        <w:rPr>
          <w:rFonts w:ascii="Times New Roman" w:hAnsi="Times New Roman" w:cs="Times New Roman"/>
          <w:bCs/>
        </w:rPr>
        <w:t>A trial of intracranial-pressure monitoring in traumatic brain injury.</w:t>
      </w:r>
      <w:r w:rsidRPr="00CE0679">
        <w:rPr>
          <w:rFonts w:ascii="Times New Roman" w:hAnsi="Times New Roman" w:cs="Times New Roman"/>
        </w:rPr>
        <w:t xml:space="preserve"> N Engl J Med. Dec 27;367(26):2471-81</w:t>
      </w:r>
    </w:p>
    <w:p w14:paraId="43F1FAFE" w14:textId="77777777" w:rsidR="00D421A4" w:rsidRPr="00CE0679" w:rsidRDefault="00D421A4" w:rsidP="00D421A4">
      <w:pPr>
        <w:pStyle w:val="ListParagraph"/>
        <w:numPr>
          <w:ilvl w:val="0"/>
          <w:numId w:val="6"/>
        </w:numPr>
        <w:jc w:val="both"/>
        <w:rPr>
          <w:rFonts w:ascii="Times New Roman" w:hAnsi="Times New Roman" w:cs="Times New Roman"/>
          <w:color w:val="262626"/>
        </w:rPr>
      </w:pPr>
      <w:r w:rsidRPr="00CE0679">
        <w:rPr>
          <w:rFonts w:ascii="Times New Roman" w:hAnsi="Times New Roman" w:cs="Times New Roman"/>
        </w:rPr>
        <w:t>Cooper DJ, Rosenfeld JV, Murray L, Arabi YM, Davies AR, D'Urso P</w:t>
      </w:r>
      <w:r>
        <w:rPr>
          <w:rFonts w:ascii="Times New Roman" w:hAnsi="Times New Roman" w:cs="Times New Roman"/>
        </w:rPr>
        <w:t xml:space="preserve"> et al. (2011)</w:t>
      </w:r>
      <w:r w:rsidRPr="00CE0679">
        <w:rPr>
          <w:rFonts w:ascii="Times New Roman" w:hAnsi="Times New Roman" w:cs="Times New Roman"/>
        </w:rPr>
        <w:t xml:space="preserve"> DECRA Trial Investigators; Australian and New Zealand Intensive Care Society Clinical Trials Group. Decompressive craniectomy in diffuse traumatic brain injury. </w:t>
      </w:r>
      <w:r w:rsidRPr="00651776">
        <w:rPr>
          <w:rFonts w:ascii="Times New Roman" w:hAnsi="Times New Roman" w:cs="Times New Roman"/>
        </w:rPr>
        <w:t>N Engl J Med</w:t>
      </w:r>
      <w:r>
        <w:rPr>
          <w:rFonts w:ascii="Times New Roman" w:hAnsi="Times New Roman" w:cs="Times New Roman"/>
        </w:rPr>
        <w:t xml:space="preserve">. </w:t>
      </w:r>
      <w:r w:rsidRPr="00CE0679">
        <w:rPr>
          <w:rFonts w:ascii="Times New Roman" w:hAnsi="Times New Roman" w:cs="Times New Roman"/>
        </w:rPr>
        <w:t>364:1493-502.</w:t>
      </w:r>
    </w:p>
    <w:p w14:paraId="3536BBD0" w14:textId="77777777" w:rsidR="00D421A4" w:rsidRPr="00CE0679" w:rsidRDefault="00D421A4" w:rsidP="00D421A4">
      <w:pPr>
        <w:pStyle w:val="ListParagraph"/>
        <w:numPr>
          <w:ilvl w:val="0"/>
          <w:numId w:val="6"/>
        </w:numPr>
        <w:jc w:val="both"/>
        <w:rPr>
          <w:rFonts w:ascii="Times New Roman" w:hAnsi="Times New Roman" w:cs="Times New Roman"/>
          <w:color w:val="262626"/>
        </w:rPr>
      </w:pPr>
      <w:r w:rsidRPr="00CE0679">
        <w:rPr>
          <w:rFonts w:ascii="Times New Roman" w:hAnsi="Times New Roman" w:cs="Times New Roman"/>
        </w:rPr>
        <w:t>Czosnyka M, Smielewski P, Kirkpatrick P</w:t>
      </w:r>
      <w:r>
        <w:rPr>
          <w:rFonts w:ascii="Times New Roman" w:hAnsi="Times New Roman" w:cs="Times New Roman"/>
        </w:rPr>
        <w:t>, Laing RJ, Menon D, Pickard JD (1997)</w:t>
      </w:r>
      <w:r w:rsidRPr="00CE0679">
        <w:rPr>
          <w:rFonts w:ascii="Times New Roman" w:hAnsi="Times New Roman" w:cs="Times New Roman"/>
        </w:rPr>
        <w:t xml:space="preserve"> Continuous assessment of the cerebral vasomotor reactivity in </w:t>
      </w:r>
      <w:r>
        <w:rPr>
          <w:rFonts w:ascii="Times New Roman" w:hAnsi="Times New Roman" w:cs="Times New Roman"/>
        </w:rPr>
        <w:t xml:space="preserve">head injury. Neurosurgery </w:t>
      </w:r>
      <w:r w:rsidRPr="00CE0679">
        <w:rPr>
          <w:rFonts w:ascii="Times New Roman" w:hAnsi="Times New Roman" w:cs="Times New Roman"/>
        </w:rPr>
        <w:t>41(1):11–7.</w:t>
      </w:r>
    </w:p>
    <w:p w14:paraId="0FCFF6BA" w14:textId="77777777" w:rsidR="00D421A4" w:rsidRPr="007B777C" w:rsidRDefault="00D421A4" w:rsidP="00D421A4">
      <w:pPr>
        <w:pStyle w:val="ListParagraph"/>
        <w:numPr>
          <w:ilvl w:val="0"/>
          <w:numId w:val="6"/>
        </w:numPr>
        <w:jc w:val="both"/>
        <w:rPr>
          <w:rFonts w:ascii="Times New Roman" w:hAnsi="Times New Roman" w:cs="Times New Roman"/>
          <w:color w:val="262626"/>
        </w:rPr>
      </w:pPr>
      <w:r w:rsidRPr="00CE0679">
        <w:rPr>
          <w:rFonts w:ascii="Times New Roman" w:hAnsi="Times New Roman" w:cs="Times New Roman"/>
        </w:rPr>
        <w:t xml:space="preserve">Czosnyka M, Smielewski P, Kirkpatrick P, </w:t>
      </w:r>
      <w:r w:rsidRPr="000A0B04">
        <w:rPr>
          <w:rFonts w:ascii="Times New Roman" w:hAnsi="Times New Roman" w:cs="Times New Roman"/>
        </w:rPr>
        <w:t>Piechnik S, Laing R, Pickard JD</w:t>
      </w:r>
      <w:r>
        <w:rPr>
          <w:rFonts w:ascii="Times New Roman" w:hAnsi="Times New Roman" w:cs="Times New Roman"/>
        </w:rPr>
        <w:t xml:space="preserve"> (1998) </w:t>
      </w:r>
      <w:r w:rsidRPr="00CE0679">
        <w:rPr>
          <w:rFonts w:ascii="Times New Roman" w:hAnsi="Times New Roman" w:cs="Times New Roman"/>
        </w:rPr>
        <w:t xml:space="preserve">Continuous monitoring of cerebrovascular pressure-reactivity in head injury. </w:t>
      </w:r>
      <w:r w:rsidRPr="00CE0679">
        <w:rPr>
          <w:rFonts w:ascii="Times New Roman" w:hAnsi="Times New Roman" w:cs="Times New Roman"/>
          <w:iCs/>
        </w:rPr>
        <w:t xml:space="preserve">Acta Neurochir Suppl </w:t>
      </w:r>
      <w:r w:rsidRPr="00CE0679">
        <w:rPr>
          <w:rFonts w:ascii="Times New Roman" w:hAnsi="Times New Roman" w:cs="Times New Roman"/>
        </w:rPr>
        <w:t>71:74 –77</w:t>
      </w:r>
    </w:p>
    <w:p w14:paraId="38390115" w14:textId="77777777" w:rsidR="00D421A4" w:rsidRPr="007B777C" w:rsidRDefault="00D421A4" w:rsidP="00D421A4">
      <w:pPr>
        <w:pStyle w:val="ListParagraph"/>
        <w:numPr>
          <w:ilvl w:val="0"/>
          <w:numId w:val="6"/>
        </w:numPr>
        <w:jc w:val="both"/>
        <w:rPr>
          <w:rFonts w:ascii="Times New Roman" w:hAnsi="Times New Roman" w:cs="Times New Roman"/>
          <w:color w:val="262626"/>
        </w:rPr>
      </w:pPr>
      <w:r w:rsidRPr="007B777C">
        <w:rPr>
          <w:rFonts w:ascii="Times New Roman" w:hAnsi="Times New Roman" w:cs="Times New Roman"/>
        </w:rPr>
        <w:t>Eisenberg H, Frankowski R, Contant C, Marshall LF, Walker MD (1998) High-dose barbiturate control of elevated intracranial pressure in patients with sever</w:t>
      </w:r>
      <w:r>
        <w:rPr>
          <w:rFonts w:ascii="Times New Roman" w:hAnsi="Times New Roman" w:cs="Times New Roman"/>
        </w:rPr>
        <w:t xml:space="preserve">e head injury. J Neurosurg </w:t>
      </w:r>
      <w:r w:rsidRPr="007B777C">
        <w:rPr>
          <w:rFonts w:ascii="Times New Roman" w:hAnsi="Times New Roman" w:cs="Times New Roman"/>
        </w:rPr>
        <w:t>69:15–23.</w:t>
      </w:r>
    </w:p>
    <w:p w14:paraId="7DEB4F5A"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rPr>
        <w:t>Hemphill JC III, B</w:t>
      </w:r>
      <w:r>
        <w:rPr>
          <w:rFonts w:ascii="Times New Roman" w:hAnsi="Times New Roman" w:cs="Times New Roman"/>
        </w:rPr>
        <w:t>arton CW, Morabito D, Manley GT (2005)</w:t>
      </w:r>
      <w:r w:rsidRPr="005F0D29">
        <w:rPr>
          <w:rFonts w:ascii="Times New Roman" w:hAnsi="Times New Roman" w:cs="Times New Roman"/>
        </w:rPr>
        <w:t xml:space="preserve"> Influence of data resolution and interpolation method on assessment of secondary brain insults in neurocritical care. </w:t>
      </w:r>
      <w:r>
        <w:rPr>
          <w:rFonts w:ascii="Times New Roman" w:hAnsi="Times New Roman" w:cs="Times New Roman"/>
          <w:bCs/>
        </w:rPr>
        <w:t>Physiol Meas 26:373–386</w:t>
      </w:r>
    </w:p>
    <w:p w14:paraId="47502FE6"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Pr>
          <w:rFonts w:ascii="Times New Roman" w:hAnsi="Times New Roman" w:cs="Times New Roman"/>
        </w:rPr>
        <w:t>Jennett B, Bond M (1975)</w:t>
      </w:r>
      <w:r w:rsidRPr="005F0D29">
        <w:rPr>
          <w:rFonts w:ascii="Times New Roman" w:hAnsi="Times New Roman" w:cs="Times New Roman"/>
        </w:rPr>
        <w:t xml:space="preserve"> Assessment of outcome after severe brain damage. </w:t>
      </w:r>
      <w:r w:rsidRPr="008F46DA">
        <w:rPr>
          <w:rFonts w:ascii="Times New Roman" w:hAnsi="Times New Roman" w:cs="Times New Roman"/>
          <w:iCs/>
        </w:rPr>
        <w:t>Lancet</w:t>
      </w:r>
      <w:r w:rsidRPr="005F0D29">
        <w:rPr>
          <w:rFonts w:ascii="Times New Roman" w:hAnsi="Times New Roman" w:cs="Times New Roman"/>
          <w:i/>
          <w:iCs/>
        </w:rPr>
        <w:t xml:space="preserve"> </w:t>
      </w:r>
      <w:r w:rsidRPr="005F0D29">
        <w:rPr>
          <w:rFonts w:ascii="Times New Roman" w:hAnsi="Times New Roman" w:cs="Times New Roman"/>
        </w:rPr>
        <w:t>1:480–484</w:t>
      </w:r>
    </w:p>
    <w:p w14:paraId="6A4A5C4D"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rPr>
        <w:t>Kahraman S, Dutton RP, Hu P, Xiao Y</w:t>
      </w:r>
      <w:r>
        <w:rPr>
          <w:rFonts w:ascii="Times New Roman" w:hAnsi="Times New Roman" w:cs="Times New Roman"/>
        </w:rPr>
        <w:t>, Aarabi B, Stein DM, Scalea TM (2010)</w:t>
      </w:r>
      <w:r w:rsidRPr="005F0D29">
        <w:rPr>
          <w:rFonts w:ascii="Times New Roman" w:hAnsi="Times New Roman" w:cs="Times New Roman"/>
        </w:rPr>
        <w:t xml:space="preserve"> </w:t>
      </w:r>
      <w:r w:rsidRPr="005F0D29">
        <w:rPr>
          <w:rFonts w:ascii="Times New Roman" w:hAnsi="Times New Roman" w:cs="Times New Roman"/>
          <w:bCs/>
        </w:rPr>
        <w:t>Automated measurement of "pressure times time dose" of intracranial hypertension best predicts outcome after severe traumatic brain injury.</w:t>
      </w:r>
      <w:r>
        <w:rPr>
          <w:rFonts w:ascii="Times New Roman" w:hAnsi="Times New Roman" w:cs="Times New Roman"/>
        </w:rPr>
        <w:t xml:space="preserve"> J Trauma </w:t>
      </w:r>
      <w:r w:rsidRPr="005F0D29">
        <w:rPr>
          <w:rFonts w:ascii="Times New Roman" w:hAnsi="Times New Roman" w:cs="Times New Roman"/>
        </w:rPr>
        <w:t>69(1):110-8</w:t>
      </w:r>
    </w:p>
    <w:p w14:paraId="41C3D655"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rPr>
        <w:lastRenderedPageBreak/>
        <w:t>Marmarou A, Anderson RL, Ward JD</w:t>
      </w:r>
      <w:r>
        <w:rPr>
          <w:rFonts w:ascii="Times New Roman" w:hAnsi="Times New Roman" w:cs="Times New Roman"/>
          <w:color w:val="262626"/>
        </w:rPr>
        <w:t xml:space="preserve">, Choi SC, </w:t>
      </w:r>
      <w:r w:rsidRPr="008F46DA">
        <w:rPr>
          <w:rFonts w:ascii="Times New Roman" w:hAnsi="Times New Roman" w:cs="Times New Roman"/>
          <w:color w:val="262626"/>
        </w:rPr>
        <w:t>Young</w:t>
      </w:r>
      <w:r>
        <w:rPr>
          <w:rFonts w:ascii="Times New Roman" w:hAnsi="Times New Roman" w:cs="Times New Roman"/>
          <w:color w:val="262626"/>
        </w:rPr>
        <w:t xml:space="preserve"> HF, </w:t>
      </w:r>
      <w:r w:rsidRPr="008F46DA">
        <w:rPr>
          <w:rFonts w:ascii="Times New Roman" w:hAnsi="Times New Roman" w:cs="Times New Roman"/>
          <w:color w:val="262626"/>
        </w:rPr>
        <w:t>Eisenberg</w:t>
      </w:r>
      <w:r>
        <w:rPr>
          <w:rFonts w:ascii="Times New Roman" w:hAnsi="Times New Roman" w:cs="Times New Roman"/>
          <w:color w:val="262626"/>
        </w:rPr>
        <w:t xml:space="preserve"> HM</w:t>
      </w:r>
      <w:r w:rsidRPr="005F0D29">
        <w:rPr>
          <w:rFonts w:ascii="Times New Roman" w:hAnsi="Times New Roman" w:cs="Times New Roman"/>
        </w:rPr>
        <w:t>, et al.</w:t>
      </w:r>
      <w:r>
        <w:rPr>
          <w:rFonts w:ascii="Times New Roman" w:hAnsi="Times New Roman" w:cs="Times New Roman"/>
        </w:rPr>
        <w:t xml:space="preserve"> (1991)</w:t>
      </w:r>
      <w:r w:rsidRPr="005F0D29">
        <w:rPr>
          <w:rFonts w:ascii="Times New Roman" w:hAnsi="Times New Roman" w:cs="Times New Roman"/>
        </w:rPr>
        <w:t xml:space="preserve"> Impact of ICP instability and hypotension on outcome in patients with sever</w:t>
      </w:r>
      <w:r>
        <w:rPr>
          <w:rFonts w:ascii="Times New Roman" w:hAnsi="Times New Roman" w:cs="Times New Roman"/>
        </w:rPr>
        <w:t>e head trauma. J Neurosurg 75:S59–S</w:t>
      </w:r>
      <w:r w:rsidRPr="005F0D29">
        <w:rPr>
          <w:rFonts w:ascii="Times New Roman" w:hAnsi="Times New Roman" w:cs="Times New Roman"/>
        </w:rPr>
        <w:t>66.</w:t>
      </w:r>
    </w:p>
    <w:p w14:paraId="110244FC"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rPr>
        <w:t>Paulson</w:t>
      </w:r>
      <w:r>
        <w:rPr>
          <w:rFonts w:ascii="Times New Roman" w:hAnsi="Times New Roman" w:cs="Times New Roman"/>
        </w:rPr>
        <w:t xml:space="preserve"> OB, Strandgaard S, Edvinsson L (1990)</w:t>
      </w:r>
      <w:r w:rsidRPr="005F0D29">
        <w:rPr>
          <w:rFonts w:ascii="Times New Roman" w:hAnsi="Times New Roman" w:cs="Times New Roman"/>
        </w:rPr>
        <w:t xml:space="preserve"> Cerebral autoregulation. </w:t>
      </w:r>
      <w:r w:rsidRPr="005F0D29">
        <w:rPr>
          <w:rFonts w:ascii="Times New Roman" w:hAnsi="Times New Roman" w:cs="Times New Roman"/>
          <w:iCs/>
        </w:rPr>
        <w:t xml:space="preserve">Cerebrovasc Brain Metab Rev </w:t>
      </w:r>
      <w:r w:rsidRPr="005F0D29">
        <w:rPr>
          <w:rFonts w:ascii="Times New Roman" w:hAnsi="Times New Roman" w:cs="Times New Roman"/>
        </w:rPr>
        <w:t>2:161–192</w:t>
      </w:r>
    </w:p>
    <w:p w14:paraId="1F1D43AD"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rPr>
        <w:t xml:space="preserve">Schreiber MA, Aoki N, Scott B, </w:t>
      </w:r>
      <w:r>
        <w:rPr>
          <w:rFonts w:ascii="Times New Roman" w:hAnsi="Times New Roman" w:cs="Times New Roman"/>
        </w:rPr>
        <w:t xml:space="preserve">Beck JR (2002) </w:t>
      </w:r>
      <w:r w:rsidRPr="005F0D29">
        <w:rPr>
          <w:rFonts w:ascii="Times New Roman" w:hAnsi="Times New Roman" w:cs="Times New Roman"/>
        </w:rPr>
        <w:t>Determination of mortality in patients with severe blunt hea</w:t>
      </w:r>
      <w:r>
        <w:rPr>
          <w:rFonts w:ascii="Times New Roman" w:hAnsi="Times New Roman" w:cs="Times New Roman"/>
        </w:rPr>
        <w:t xml:space="preserve">d injury. Arch Surg </w:t>
      </w:r>
      <w:r w:rsidRPr="005F0D29">
        <w:rPr>
          <w:rFonts w:ascii="Times New Roman" w:hAnsi="Times New Roman" w:cs="Times New Roman"/>
        </w:rPr>
        <w:t>137:285–290.</w:t>
      </w:r>
    </w:p>
    <w:p w14:paraId="40BA0C4E" w14:textId="77777777" w:rsidR="00D421A4" w:rsidRPr="005F0D2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bCs/>
        </w:rPr>
        <w:t>Smielewski</w:t>
      </w:r>
      <w:r w:rsidRPr="005F0D29">
        <w:rPr>
          <w:rFonts w:ascii="Times New Roman" w:hAnsi="Times New Roman" w:cs="Times New Roman"/>
        </w:rPr>
        <w:t xml:space="preserve"> P, Lavinio A, Timofeev I, Radolovich D, Perkes I, Pickard JD,</w:t>
      </w:r>
      <w:r>
        <w:rPr>
          <w:rFonts w:ascii="Times New Roman" w:hAnsi="Times New Roman" w:cs="Times New Roman"/>
        </w:rPr>
        <w:t xml:space="preserve"> Czosnyka M (2008) </w:t>
      </w:r>
      <w:r w:rsidRPr="005F0D29">
        <w:rPr>
          <w:rFonts w:ascii="Times New Roman" w:hAnsi="Times New Roman" w:cs="Times New Roman"/>
          <w:bCs/>
        </w:rPr>
        <w:t>ICM+, a flexible platform for investigations of cerebrospinal dynamics in clinical practice.</w:t>
      </w:r>
      <w:r>
        <w:rPr>
          <w:rFonts w:ascii="Times New Roman" w:hAnsi="Times New Roman" w:cs="Times New Roman"/>
        </w:rPr>
        <w:t xml:space="preserve"> Acta Neurochir Suppl. </w:t>
      </w:r>
      <w:r w:rsidRPr="005F0D29">
        <w:rPr>
          <w:rFonts w:ascii="Times New Roman" w:hAnsi="Times New Roman" w:cs="Times New Roman"/>
        </w:rPr>
        <w:t>102:145-51.</w:t>
      </w:r>
    </w:p>
    <w:p w14:paraId="3C76D89D" w14:textId="77777777" w:rsidR="00D421A4" w:rsidRPr="001C0CC9" w:rsidRDefault="00D421A4" w:rsidP="00D421A4">
      <w:pPr>
        <w:pStyle w:val="ListParagraph"/>
        <w:numPr>
          <w:ilvl w:val="0"/>
          <w:numId w:val="6"/>
        </w:numPr>
        <w:jc w:val="both"/>
        <w:rPr>
          <w:rFonts w:ascii="Times New Roman" w:hAnsi="Times New Roman" w:cs="Times New Roman"/>
          <w:color w:val="262626"/>
        </w:rPr>
      </w:pPr>
      <w:r w:rsidRPr="005F0D29">
        <w:rPr>
          <w:rFonts w:ascii="Times New Roman" w:hAnsi="Times New Roman" w:cs="Times New Roman"/>
        </w:rPr>
        <w:t>Sorrentino E, Diedler J, Kasprowicz M, Budohoski KP, Haubrich C, Smielewski P, et al.</w:t>
      </w:r>
      <w:r>
        <w:rPr>
          <w:rFonts w:ascii="Times New Roman" w:hAnsi="Times New Roman" w:cs="Times New Roman"/>
        </w:rPr>
        <w:t xml:space="preserve"> (2012)</w:t>
      </w:r>
      <w:r w:rsidRPr="005F0D29">
        <w:rPr>
          <w:rFonts w:ascii="Times New Roman" w:hAnsi="Times New Roman" w:cs="Times New Roman"/>
        </w:rPr>
        <w:t xml:space="preserve"> </w:t>
      </w:r>
      <w:r w:rsidRPr="005F0D29">
        <w:rPr>
          <w:rFonts w:ascii="Times New Roman" w:hAnsi="Times New Roman" w:cs="Times New Roman"/>
          <w:bCs/>
        </w:rPr>
        <w:t xml:space="preserve">Critical thresholds for cerebrovascular reactivity after traumatic brain injury. </w:t>
      </w:r>
      <w:r>
        <w:rPr>
          <w:rFonts w:ascii="Times New Roman" w:hAnsi="Times New Roman" w:cs="Times New Roman"/>
        </w:rPr>
        <w:t xml:space="preserve">Neurocrit Care. </w:t>
      </w:r>
      <w:r w:rsidRPr="005F0D29">
        <w:rPr>
          <w:rFonts w:ascii="Times New Roman" w:hAnsi="Times New Roman" w:cs="Times New Roman"/>
        </w:rPr>
        <w:t>16(2):258-66</w:t>
      </w:r>
    </w:p>
    <w:p w14:paraId="3660D56E" w14:textId="77777777" w:rsidR="00D421A4" w:rsidRPr="001C0CC9" w:rsidRDefault="00D421A4" w:rsidP="00D421A4">
      <w:pPr>
        <w:pStyle w:val="ListParagraph"/>
        <w:numPr>
          <w:ilvl w:val="0"/>
          <w:numId w:val="6"/>
        </w:numPr>
        <w:jc w:val="both"/>
        <w:rPr>
          <w:rFonts w:ascii="Times New Roman" w:hAnsi="Times New Roman" w:cs="Times New Roman"/>
          <w:color w:val="262626"/>
        </w:rPr>
      </w:pPr>
      <w:r w:rsidRPr="001C0CC9">
        <w:rPr>
          <w:rFonts w:ascii="Times New Roman" w:hAnsi="Times New Roman" w:cs="Times New Roman"/>
          <w:bCs/>
        </w:rPr>
        <w:t>Steiner</w:t>
      </w:r>
      <w:r w:rsidRPr="001C0CC9">
        <w:rPr>
          <w:rFonts w:ascii="Times New Roman" w:hAnsi="Times New Roman" w:cs="Times New Roman"/>
        </w:rPr>
        <w:t xml:space="preserve"> LA, </w:t>
      </w:r>
      <w:r w:rsidRPr="001C0CC9">
        <w:rPr>
          <w:rFonts w:ascii="Times New Roman" w:hAnsi="Times New Roman" w:cs="Times New Roman"/>
          <w:bCs/>
        </w:rPr>
        <w:t>Czosnyka</w:t>
      </w:r>
      <w:r w:rsidRPr="001C0CC9">
        <w:rPr>
          <w:rFonts w:ascii="Times New Roman" w:hAnsi="Times New Roman" w:cs="Times New Roman"/>
        </w:rPr>
        <w:t xml:space="preserve"> M, Piechnik SK Smielewski P, Chatfield D, Menon DK, Pickard JD</w:t>
      </w:r>
      <w:r>
        <w:rPr>
          <w:rFonts w:ascii="Times New Roman" w:hAnsi="Times New Roman" w:cs="Times New Roman"/>
        </w:rPr>
        <w:t xml:space="preserve"> (2002) </w:t>
      </w:r>
      <w:r w:rsidRPr="001C0CC9">
        <w:rPr>
          <w:rFonts w:ascii="Times New Roman" w:hAnsi="Times New Roman" w:cs="Times New Roman"/>
          <w:bCs/>
        </w:rPr>
        <w:t>Continuous monitoring of cerebrovascular pressure reactivity allows determination of optimal cerebral perfusion pressure in patients with traumatic brain injury.</w:t>
      </w:r>
      <w:r w:rsidRPr="001C0CC9">
        <w:rPr>
          <w:rFonts w:ascii="Times New Roman" w:hAnsi="Times New Roman" w:cs="Times New Roman"/>
        </w:rPr>
        <w:t xml:space="preserve"> Crit Care Med. 30(4): 733-8</w:t>
      </w:r>
    </w:p>
    <w:p w14:paraId="3BE8A0FF" w14:textId="77777777" w:rsidR="00D421A4" w:rsidRPr="001C0CC9" w:rsidRDefault="00D421A4" w:rsidP="00D421A4">
      <w:pPr>
        <w:pStyle w:val="ListParagraph"/>
        <w:numPr>
          <w:ilvl w:val="0"/>
          <w:numId w:val="6"/>
        </w:numPr>
        <w:jc w:val="both"/>
        <w:rPr>
          <w:rFonts w:ascii="Times New Roman" w:hAnsi="Times New Roman" w:cs="Times New Roman"/>
          <w:color w:val="262626"/>
        </w:rPr>
      </w:pPr>
      <w:r w:rsidRPr="001C0CC9">
        <w:rPr>
          <w:rFonts w:ascii="Times New Roman" w:hAnsi="Times New Roman" w:cs="Times New Roman"/>
        </w:rPr>
        <w:t>Vik A, Nag T, Fredriksli OA Skandsen T, Moen KG, Schirmer-Mikalsen K, Manley GT</w:t>
      </w:r>
      <w:r>
        <w:rPr>
          <w:rFonts w:ascii="Times New Roman" w:hAnsi="Times New Roman" w:cs="Times New Roman"/>
        </w:rPr>
        <w:t xml:space="preserve"> (2008) </w:t>
      </w:r>
      <w:r w:rsidRPr="001C0CC9">
        <w:rPr>
          <w:rFonts w:ascii="Times New Roman" w:hAnsi="Times New Roman" w:cs="Times New Roman"/>
          <w:bCs/>
        </w:rPr>
        <w:t xml:space="preserve">Relationship of "dose" of intracranial hypertension to outcome in severe traumatic brain injury. </w:t>
      </w:r>
      <w:r>
        <w:rPr>
          <w:rFonts w:ascii="Times New Roman" w:hAnsi="Times New Roman" w:cs="Times New Roman"/>
        </w:rPr>
        <w:t xml:space="preserve">J Neurosurg. </w:t>
      </w:r>
      <w:r w:rsidRPr="001C0CC9">
        <w:rPr>
          <w:rFonts w:ascii="Times New Roman" w:hAnsi="Times New Roman" w:cs="Times New Roman"/>
        </w:rPr>
        <w:t>109(4):678-84</w:t>
      </w:r>
    </w:p>
    <w:p w14:paraId="66752DC7" w14:textId="77777777" w:rsidR="00D421A4" w:rsidRDefault="00D421A4" w:rsidP="00130936">
      <w:pPr>
        <w:jc w:val="both"/>
        <w:rPr>
          <w:rFonts w:ascii="Times New Roman" w:hAnsi="Times New Roman" w:cs="Times New Roman"/>
          <w:b/>
        </w:rPr>
      </w:pPr>
    </w:p>
    <w:p w14:paraId="179AB8EA" w14:textId="1E17A4E2" w:rsidR="00130936" w:rsidRPr="00FB330A" w:rsidRDefault="00130936" w:rsidP="00130936">
      <w:pPr>
        <w:jc w:val="both"/>
        <w:rPr>
          <w:rFonts w:ascii="Times New Roman" w:hAnsi="Times New Roman" w:cs="Times New Roman"/>
          <w:b/>
        </w:rPr>
      </w:pPr>
      <w:r>
        <w:rPr>
          <w:rFonts w:ascii="Times New Roman" w:hAnsi="Times New Roman" w:cs="Times New Roman"/>
          <w:b/>
        </w:rPr>
        <w:t>FIGURE LEGENDS</w:t>
      </w:r>
      <w:r w:rsidRPr="00FB330A">
        <w:rPr>
          <w:rFonts w:ascii="Times New Roman" w:hAnsi="Times New Roman" w:cs="Times New Roman"/>
          <w:b/>
        </w:rPr>
        <w:t>:</w:t>
      </w:r>
    </w:p>
    <w:p w14:paraId="2A7F0746" w14:textId="48B8A5C3" w:rsidR="002550E8" w:rsidRDefault="002550E8"/>
    <w:p w14:paraId="58E22718" w14:textId="68118013" w:rsidR="00130936" w:rsidRPr="00AA11F7" w:rsidRDefault="002550E8" w:rsidP="00130936">
      <w:pPr>
        <w:spacing w:line="480" w:lineRule="auto"/>
        <w:jc w:val="both"/>
        <w:rPr>
          <w:rFonts w:ascii="Times New Roman" w:hAnsi="Times New Roman" w:cs="Times New Roman"/>
        </w:rPr>
      </w:pPr>
      <w:r w:rsidRPr="00AA11F7">
        <w:rPr>
          <w:rFonts w:ascii="Times New Roman" w:hAnsi="Times New Roman" w:cs="Times New Roman"/>
          <w:b/>
        </w:rPr>
        <w:t>Figure 1.</w:t>
      </w:r>
      <w:r w:rsidR="007727A4" w:rsidRPr="00AA11F7">
        <w:rPr>
          <w:rFonts w:ascii="Times New Roman" w:hAnsi="Times New Roman" w:cs="Times New Roman"/>
          <w:b/>
        </w:rPr>
        <w:t xml:space="preserve"> </w:t>
      </w:r>
      <w:r w:rsidR="007727A4" w:rsidRPr="00AA11F7">
        <w:rPr>
          <w:rFonts w:ascii="Times New Roman" w:hAnsi="Times New Roman" w:cs="Times New Roman"/>
        </w:rPr>
        <w:t>Relationship between D20, DPRx and mean ICP for the whole patient cohort. Higher D20 over DPRx can be appreciated in the range of 15-25 mm Hg of mean ICP.</w:t>
      </w:r>
    </w:p>
    <w:p w14:paraId="026B58BC" w14:textId="77777777" w:rsidR="007727A4" w:rsidRPr="00AA11F7" w:rsidRDefault="007727A4" w:rsidP="00AA621F">
      <w:pPr>
        <w:spacing w:line="480" w:lineRule="auto"/>
        <w:jc w:val="both"/>
        <w:rPr>
          <w:rFonts w:ascii="Times New Roman" w:hAnsi="Times New Roman" w:cs="Times New Roman"/>
        </w:rPr>
      </w:pPr>
    </w:p>
    <w:p w14:paraId="5B404A6D" w14:textId="0101E5B4" w:rsidR="002550E8" w:rsidRPr="00AA11F7" w:rsidRDefault="002550E8" w:rsidP="00AA621F">
      <w:pPr>
        <w:spacing w:line="480" w:lineRule="auto"/>
        <w:jc w:val="both"/>
        <w:rPr>
          <w:rFonts w:ascii="Times New Roman" w:hAnsi="Times New Roman" w:cs="Times New Roman"/>
        </w:rPr>
      </w:pPr>
      <w:r w:rsidRPr="00AA11F7">
        <w:rPr>
          <w:rFonts w:ascii="Times New Roman" w:hAnsi="Times New Roman" w:cs="Times New Roman"/>
          <w:b/>
        </w:rPr>
        <w:t>Figure 2.</w:t>
      </w:r>
      <w:r w:rsidRPr="00AA11F7">
        <w:rPr>
          <w:rFonts w:ascii="Times New Roman" w:hAnsi="Times New Roman" w:cs="Times New Roman"/>
        </w:rPr>
        <w:t xml:space="preserve"> </w:t>
      </w:r>
      <w:r w:rsidR="00A56602" w:rsidRPr="00AA11F7">
        <w:rPr>
          <w:rFonts w:ascii="Times New Roman" w:hAnsi="Times New Roman" w:cs="Times New Roman"/>
        </w:rPr>
        <w:t>Distribution of DPRx across the GOS outcome categories. Significantly higher dose sustained by the patients who died</w:t>
      </w:r>
      <w:r w:rsidR="00A06D79" w:rsidRPr="00AA11F7">
        <w:rPr>
          <w:rFonts w:ascii="Times New Roman" w:hAnsi="Times New Roman" w:cs="Times New Roman"/>
        </w:rPr>
        <w:t xml:space="preserve"> (p &lt; 0.001)</w:t>
      </w:r>
      <w:r w:rsidR="00A56602" w:rsidRPr="00AA11F7">
        <w:rPr>
          <w:rFonts w:ascii="Times New Roman" w:hAnsi="Times New Roman" w:cs="Times New Roman"/>
        </w:rPr>
        <w:t>.</w:t>
      </w:r>
    </w:p>
    <w:p w14:paraId="52E29593" w14:textId="77777777" w:rsidR="006521B6" w:rsidRDefault="006521B6" w:rsidP="00245019">
      <w:pPr>
        <w:spacing w:line="480" w:lineRule="auto"/>
        <w:jc w:val="both"/>
        <w:rPr>
          <w:rFonts w:ascii="Times New Roman" w:hAnsi="Times New Roman" w:cs="Times New Roman"/>
        </w:rPr>
      </w:pPr>
    </w:p>
    <w:p w14:paraId="4A1344B5" w14:textId="77777777" w:rsidR="00AA11F7" w:rsidRDefault="00AA11F7" w:rsidP="00151E99">
      <w:pPr>
        <w:widowControl w:val="0"/>
        <w:autoSpaceDE w:val="0"/>
        <w:autoSpaceDN w:val="0"/>
        <w:adjustRightInd w:val="0"/>
        <w:spacing w:after="240"/>
        <w:rPr>
          <w:rFonts w:ascii="Times New Roman" w:hAnsi="Times New Roman" w:cs="Times New Roman"/>
        </w:rPr>
      </w:pPr>
    </w:p>
    <w:p w14:paraId="73BD4A92" w14:textId="77777777" w:rsidR="00151E99" w:rsidRPr="002F741E" w:rsidRDefault="00151E99" w:rsidP="00151E99">
      <w:pPr>
        <w:widowControl w:val="0"/>
        <w:autoSpaceDE w:val="0"/>
        <w:autoSpaceDN w:val="0"/>
        <w:adjustRightInd w:val="0"/>
        <w:spacing w:after="240"/>
        <w:rPr>
          <w:rFonts w:ascii="Times New Roman" w:hAnsi="Times New Roman" w:cs="Times New Roman"/>
        </w:rPr>
      </w:pPr>
      <w:r w:rsidRPr="00AA11F7">
        <w:rPr>
          <w:rFonts w:ascii="Times New Roman" w:hAnsi="Times New Roman" w:cs="Times New Roman"/>
          <w:b/>
        </w:rPr>
        <w:t>Conflicts of Interest and Source of Funding:</w:t>
      </w:r>
      <w:r>
        <w:rPr>
          <w:rFonts w:ascii="Times New Roman" w:hAnsi="Times New Roman" w:cs="Times New Roman"/>
        </w:rPr>
        <w:t xml:space="preserve"> </w:t>
      </w:r>
      <w:r w:rsidRPr="002F741E">
        <w:rPr>
          <w:rFonts w:ascii="Times New Roman" w:hAnsi="Times New Roman" w:cs="Times New Roman"/>
        </w:rPr>
        <w:t xml:space="preserve">The software for brain monitoring ICM+ (http:// www.neurosurg.cam.ac.uk/icmplus) is licensed by the University of Cambridge (Cambridge Enterprise). Mr. Czosnyka and Mr. Smielewski have a financial interest </w:t>
      </w:r>
      <w:r>
        <w:rPr>
          <w:rFonts w:ascii="Times New Roman" w:hAnsi="Times New Roman" w:cs="Times New Roman"/>
        </w:rPr>
        <w:t xml:space="preserve">in a part of the licensing fee. </w:t>
      </w:r>
      <w:r w:rsidRPr="002F741E">
        <w:rPr>
          <w:rFonts w:ascii="Times New Roman" w:hAnsi="Times New Roman" w:cs="Times New Roman"/>
        </w:rPr>
        <w:t xml:space="preserve">Mr. Hutchinson is supported by an Academy of Medical Sciences/Health Foundation Senior Scientist Fellowship and grants from the Medical Research Council/NIHR. Mr. Menon is supported by funding from the Medical Research Council, the NIHR Cambridge Biomedical Centre, and an NIHR Senior Investigator award. Mr. Pickard is a NIHR senior investigator awardee and a principal investigator within the NIHR Biomedical Research Centre (Cambridge University Hospital Foundation Trust) and lead principal investigator for the Medical Research Council </w:t>
      </w:r>
      <w:r w:rsidRPr="002F741E">
        <w:rPr>
          <w:rFonts w:ascii="Times New Roman" w:hAnsi="Times New Roman" w:cs="Times New Roman"/>
        </w:rPr>
        <w:lastRenderedPageBreak/>
        <w:t>“Acute Brain Injury Programme” grant. The remaining authors have not disclosed any potential conflict of interest.</w:t>
      </w:r>
    </w:p>
    <w:p w14:paraId="22E0B574" w14:textId="77777777" w:rsidR="00FF01DB" w:rsidRDefault="00FF01DB" w:rsidP="00245019">
      <w:pPr>
        <w:spacing w:line="480" w:lineRule="auto"/>
        <w:jc w:val="both"/>
        <w:rPr>
          <w:rFonts w:ascii="Times New Roman" w:hAnsi="Times New Roman" w:cs="Times New Roman"/>
        </w:rPr>
      </w:pPr>
    </w:p>
    <w:p w14:paraId="219DDBA4" w14:textId="77777777" w:rsidR="00FF01DB" w:rsidRPr="001351B2" w:rsidRDefault="00FF01DB" w:rsidP="00245019">
      <w:pPr>
        <w:spacing w:line="480" w:lineRule="auto"/>
        <w:jc w:val="both"/>
        <w:rPr>
          <w:rFonts w:ascii="Times New Roman" w:hAnsi="Times New Roman" w:cs="Times New Roman"/>
        </w:rPr>
      </w:pPr>
    </w:p>
    <w:p w14:paraId="361B8EE1" w14:textId="77777777" w:rsidR="008D7ABC" w:rsidRDefault="008D7ABC" w:rsidP="00245019">
      <w:pPr>
        <w:rPr>
          <w:rFonts w:ascii="Times New Roman" w:hAnsi="Times New Roman" w:cs="Times New Roman"/>
          <w:b/>
        </w:rPr>
      </w:pPr>
    </w:p>
    <w:p w14:paraId="79291C18" w14:textId="77777777" w:rsidR="00B54CE3" w:rsidRDefault="00B54CE3" w:rsidP="00245019">
      <w:pPr>
        <w:rPr>
          <w:rFonts w:ascii="Times New Roman" w:hAnsi="Times New Roman" w:cs="Times New Roman"/>
          <w:b/>
        </w:rPr>
      </w:pPr>
    </w:p>
    <w:p w14:paraId="3927CC1D" w14:textId="77777777" w:rsidR="00B54CE3" w:rsidRDefault="00B54CE3" w:rsidP="00245019">
      <w:pPr>
        <w:rPr>
          <w:rFonts w:ascii="Times New Roman" w:hAnsi="Times New Roman" w:cs="Times New Roman"/>
          <w:b/>
        </w:rPr>
      </w:pPr>
    </w:p>
    <w:p w14:paraId="221DF841" w14:textId="6DD30AFB" w:rsidR="00FC63BC" w:rsidRDefault="00DD7462" w:rsidP="00245019">
      <w:pPr>
        <w:rPr>
          <w:rFonts w:ascii="Times New Roman" w:hAnsi="Times New Roman" w:cs="Times New Roman"/>
          <w:b/>
        </w:rPr>
      </w:pPr>
      <w:r>
        <w:rPr>
          <w:rFonts w:ascii="Times New Roman" w:hAnsi="Times New Roman" w:cs="Times New Roman"/>
          <w:b/>
          <w:noProof/>
        </w:rPr>
        <w:drawing>
          <wp:inline distT="0" distB="0" distL="0" distR="0" wp14:anchorId="54593319" wp14:editId="7D0A1FEB">
            <wp:extent cx="5486400" cy="5486400"/>
            <wp:effectExtent l="0" t="0" r="0" b="0"/>
            <wp:docPr id="1" name="Picture 1" descr="Macintosh HD:Users:staciadesantis:Desktop:ACTA: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aciadesantis:Desktop:ACTA: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2C9A1E3" w14:textId="729C3610" w:rsidR="00FC63BC" w:rsidRDefault="00FC63BC" w:rsidP="00245019">
      <w:pPr>
        <w:rPr>
          <w:rFonts w:ascii="Times New Roman" w:hAnsi="Times New Roman" w:cs="Times New Roman"/>
          <w:b/>
        </w:rPr>
      </w:pPr>
    </w:p>
    <w:p w14:paraId="46BFAC44" w14:textId="06AFC978" w:rsidR="00B54CE3" w:rsidRDefault="00B54CE3" w:rsidP="00245019">
      <w:pPr>
        <w:rPr>
          <w:rFonts w:ascii="Times New Roman" w:hAnsi="Times New Roman" w:cs="Times New Roman"/>
          <w:b/>
        </w:rPr>
      </w:pPr>
    </w:p>
    <w:p w14:paraId="5CD65519" w14:textId="77777777" w:rsidR="00FC63BC" w:rsidRDefault="00FC63BC" w:rsidP="00245019">
      <w:pPr>
        <w:rPr>
          <w:rFonts w:ascii="Times New Roman" w:hAnsi="Times New Roman" w:cs="Times New Roman"/>
          <w:b/>
        </w:rPr>
      </w:pPr>
    </w:p>
    <w:p w14:paraId="258B992B" w14:textId="77777777" w:rsidR="00FC63BC" w:rsidRDefault="00FC63BC" w:rsidP="00245019">
      <w:pPr>
        <w:rPr>
          <w:rFonts w:ascii="Times New Roman" w:hAnsi="Times New Roman" w:cs="Times New Roman"/>
          <w:b/>
        </w:rPr>
      </w:pPr>
    </w:p>
    <w:p w14:paraId="79C8DAAC" w14:textId="77777777" w:rsidR="00324765" w:rsidRPr="00AA11F7" w:rsidRDefault="00324765" w:rsidP="00324765">
      <w:pPr>
        <w:spacing w:line="480" w:lineRule="auto"/>
        <w:jc w:val="both"/>
        <w:rPr>
          <w:rFonts w:ascii="Times New Roman" w:hAnsi="Times New Roman" w:cs="Times New Roman"/>
        </w:rPr>
      </w:pPr>
      <w:r w:rsidRPr="00AA11F7">
        <w:rPr>
          <w:rFonts w:ascii="Times New Roman" w:hAnsi="Times New Roman" w:cs="Times New Roman"/>
          <w:b/>
        </w:rPr>
        <w:lastRenderedPageBreak/>
        <w:t xml:space="preserve">Figure 1. </w:t>
      </w:r>
      <w:r w:rsidRPr="00AA11F7">
        <w:rPr>
          <w:rFonts w:ascii="Times New Roman" w:hAnsi="Times New Roman" w:cs="Times New Roman"/>
        </w:rPr>
        <w:t>Relationship between D20, DPRx and mean ICP for the whole patient cohort. Higher D20 over DPRx can be appreciated in the range of 15-25 mm Hg of mean ICP.</w:t>
      </w:r>
    </w:p>
    <w:p w14:paraId="7D20FF93" w14:textId="77777777" w:rsidR="00FC63BC" w:rsidRDefault="00FC63BC" w:rsidP="00245019">
      <w:pPr>
        <w:rPr>
          <w:rFonts w:ascii="Times New Roman" w:hAnsi="Times New Roman" w:cs="Times New Roman"/>
          <w:b/>
        </w:rPr>
      </w:pPr>
    </w:p>
    <w:p w14:paraId="75F9A1E9" w14:textId="77777777" w:rsidR="00FC63BC" w:rsidRDefault="00FC63BC" w:rsidP="00245019">
      <w:pPr>
        <w:rPr>
          <w:rFonts w:ascii="Times New Roman" w:hAnsi="Times New Roman" w:cs="Times New Roman"/>
          <w:b/>
        </w:rPr>
      </w:pPr>
    </w:p>
    <w:p w14:paraId="04C55D10" w14:textId="77777777" w:rsidR="00FC63BC" w:rsidRDefault="00FC63BC" w:rsidP="00245019">
      <w:pPr>
        <w:rPr>
          <w:rFonts w:ascii="Times New Roman" w:hAnsi="Times New Roman" w:cs="Times New Roman"/>
          <w:b/>
        </w:rPr>
      </w:pPr>
    </w:p>
    <w:p w14:paraId="228FD434" w14:textId="77777777" w:rsidR="00FC63BC" w:rsidRDefault="00FC63BC" w:rsidP="00245019">
      <w:pPr>
        <w:rPr>
          <w:rFonts w:ascii="Times New Roman" w:hAnsi="Times New Roman" w:cs="Times New Roman"/>
          <w:b/>
        </w:rPr>
      </w:pPr>
    </w:p>
    <w:p w14:paraId="02CC9ADF" w14:textId="77777777" w:rsidR="00FC63BC" w:rsidRDefault="00FC63BC" w:rsidP="00245019">
      <w:pPr>
        <w:rPr>
          <w:rFonts w:ascii="Times New Roman" w:hAnsi="Times New Roman" w:cs="Times New Roman"/>
          <w:b/>
        </w:rPr>
      </w:pPr>
    </w:p>
    <w:p w14:paraId="7E5E1787" w14:textId="77777777" w:rsidR="00FC63BC" w:rsidRDefault="00FC63BC" w:rsidP="00245019">
      <w:pPr>
        <w:rPr>
          <w:rFonts w:ascii="Times New Roman" w:hAnsi="Times New Roman" w:cs="Times New Roman"/>
          <w:b/>
        </w:rPr>
      </w:pPr>
    </w:p>
    <w:p w14:paraId="7AB990ED" w14:textId="77777777" w:rsidR="00FC63BC" w:rsidRDefault="00FC63BC" w:rsidP="00245019">
      <w:pPr>
        <w:rPr>
          <w:rFonts w:ascii="Times New Roman" w:hAnsi="Times New Roman" w:cs="Times New Roman"/>
          <w:b/>
        </w:rPr>
      </w:pPr>
    </w:p>
    <w:p w14:paraId="3BF9C0D2" w14:textId="77777777" w:rsidR="00FC63BC" w:rsidRDefault="00FC63BC" w:rsidP="00245019">
      <w:pPr>
        <w:rPr>
          <w:rFonts w:ascii="Times New Roman" w:hAnsi="Times New Roman" w:cs="Times New Roman"/>
          <w:b/>
        </w:rPr>
      </w:pPr>
    </w:p>
    <w:p w14:paraId="77670157" w14:textId="77777777" w:rsidR="00FC63BC" w:rsidRDefault="00FC63BC" w:rsidP="00245019">
      <w:pPr>
        <w:rPr>
          <w:rFonts w:ascii="Times New Roman" w:hAnsi="Times New Roman" w:cs="Times New Roman"/>
          <w:b/>
        </w:rPr>
      </w:pPr>
    </w:p>
    <w:p w14:paraId="45AB6AA1" w14:textId="77777777" w:rsidR="00FC63BC" w:rsidRDefault="00FC63BC" w:rsidP="00245019">
      <w:pPr>
        <w:rPr>
          <w:rFonts w:ascii="Times New Roman" w:hAnsi="Times New Roman" w:cs="Times New Roman"/>
          <w:b/>
        </w:rPr>
      </w:pPr>
    </w:p>
    <w:p w14:paraId="5C267E6D" w14:textId="77777777" w:rsidR="00FC63BC" w:rsidRDefault="00FC63BC" w:rsidP="00245019">
      <w:pPr>
        <w:rPr>
          <w:rFonts w:ascii="Times New Roman" w:hAnsi="Times New Roman" w:cs="Times New Roman"/>
          <w:b/>
        </w:rPr>
      </w:pPr>
    </w:p>
    <w:p w14:paraId="4BCCF091" w14:textId="5584BCBB" w:rsidR="00FC63BC" w:rsidRDefault="00FC63BC" w:rsidP="00245019">
      <w:pPr>
        <w:rPr>
          <w:rFonts w:ascii="Times New Roman" w:hAnsi="Times New Roman" w:cs="Times New Roman"/>
          <w:b/>
        </w:rPr>
      </w:pPr>
      <w:r>
        <w:rPr>
          <w:rFonts w:ascii="Times New Roman" w:hAnsi="Times New Roman" w:cs="Times New Roman"/>
          <w:b/>
          <w:noProof/>
        </w:rPr>
        <w:drawing>
          <wp:inline distT="0" distB="0" distL="0" distR="0" wp14:anchorId="25DD299C" wp14:editId="0E9A6E43">
            <wp:extent cx="5486400" cy="5486400"/>
            <wp:effectExtent l="0" t="0" r="0" b="0"/>
            <wp:docPr id="2" name="Picture 2" descr="Macintosh HD:Users:staciadesantis:Desktop:ACTA: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aciadesantis:Desktop:ACTA:Fig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6F5CD4E" w14:textId="77777777" w:rsidR="00324765" w:rsidRPr="00AA11F7" w:rsidRDefault="00324765" w:rsidP="00324765">
      <w:pPr>
        <w:spacing w:line="480" w:lineRule="auto"/>
        <w:jc w:val="both"/>
        <w:rPr>
          <w:rFonts w:ascii="Times New Roman" w:hAnsi="Times New Roman" w:cs="Times New Roman"/>
        </w:rPr>
      </w:pPr>
      <w:r w:rsidRPr="00AA11F7">
        <w:rPr>
          <w:rFonts w:ascii="Times New Roman" w:hAnsi="Times New Roman" w:cs="Times New Roman"/>
          <w:b/>
        </w:rPr>
        <w:lastRenderedPageBreak/>
        <w:t>Figure 2.</w:t>
      </w:r>
      <w:r w:rsidRPr="00AA11F7">
        <w:rPr>
          <w:rFonts w:ascii="Times New Roman" w:hAnsi="Times New Roman" w:cs="Times New Roman"/>
        </w:rPr>
        <w:t xml:space="preserve"> Distribution of DPRx across the GOS outcome categories. Significantly higher dose sustained by the patients who died (p &lt; 0.001).</w:t>
      </w:r>
    </w:p>
    <w:p w14:paraId="1035C3C5" w14:textId="77777777" w:rsidR="00FC63BC" w:rsidRDefault="00FC63BC" w:rsidP="00245019">
      <w:pPr>
        <w:rPr>
          <w:rFonts w:ascii="Times New Roman" w:hAnsi="Times New Roman" w:cs="Times New Roman"/>
          <w:b/>
        </w:rPr>
      </w:pPr>
    </w:p>
    <w:sectPr w:rsidR="00FC63BC" w:rsidSect="00FC19AF">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ADCE9" w14:textId="77777777" w:rsidR="00821F87" w:rsidRDefault="00821F87" w:rsidP="002C2E70">
      <w:r>
        <w:separator/>
      </w:r>
    </w:p>
  </w:endnote>
  <w:endnote w:type="continuationSeparator" w:id="0">
    <w:p w14:paraId="2A40B0B0" w14:textId="77777777" w:rsidR="00821F87" w:rsidRDefault="00821F87" w:rsidP="002C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BCE34" w14:textId="77777777" w:rsidR="00821F87" w:rsidRDefault="00821F87" w:rsidP="00A879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FE7283" w14:textId="77777777" w:rsidR="00821F87" w:rsidRDefault="00821F87" w:rsidP="002C2E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787E4" w14:textId="77777777" w:rsidR="00821F87" w:rsidRDefault="00821F87" w:rsidP="00A879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198E">
      <w:rPr>
        <w:rStyle w:val="PageNumber"/>
        <w:noProof/>
      </w:rPr>
      <w:t>1</w:t>
    </w:r>
    <w:r>
      <w:rPr>
        <w:rStyle w:val="PageNumber"/>
      </w:rPr>
      <w:fldChar w:fldCharType="end"/>
    </w:r>
  </w:p>
  <w:p w14:paraId="764BAC22" w14:textId="77777777" w:rsidR="00821F87" w:rsidRDefault="00821F87" w:rsidP="002C2E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F068B" w14:textId="77777777" w:rsidR="00821F87" w:rsidRDefault="00821F87" w:rsidP="002C2E70">
      <w:r>
        <w:separator/>
      </w:r>
    </w:p>
  </w:footnote>
  <w:footnote w:type="continuationSeparator" w:id="0">
    <w:p w14:paraId="274CCE42" w14:textId="77777777" w:rsidR="00821F87" w:rsidRDefault="00821F87" w:rsidP="002C2E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31BDF"/>
    <w:multiLevelType w:val="hybridMultilevel"/>
    <w:tmpl w:val="9D847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F3397"/>
    <w:multiLevelType w:val="hybridMultilevel"/>
    <w:tmpl w:val="E28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60F22"/>
    <w:multiLevelType w:val="hybridMultilevel"/>
    <w:tmpl w:val="9F0E4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C46B50"/>
    <w:multiLevelType w:val="hybridMultilevel"/>
    <w:tmpl w:val="F9F2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F16CF"/>
    <w:multiLevelType w:val="hybridMultilevel"/>
    <w:tmpl w:val="9E189A22"/>
    <w:lvl w:ilvl="0" w:tplc="B540F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5D"/>
    <w:rsid w:val="00007CAB"/>
    <w:rsid w:val="00012E08"/>
    <w:rsid w:val="000137AB"/>
    <w:rsid w:val="0002121D"/>
    <w:rsid w:val="00031168"/>
    <w:rsid w:val="000356AC"/>
    <w:rsid w:val="00042943"/>
    <w:rsid w:val="00050C5E"/>
    <w:rsid w:val="000533BA"/>
    <w:rsid w:val="00061F40"/>
    <w:rsid w:val="00073319"/>
    <w:rsid w:val="00074173"/>
    <w:rsid w:val="00075A30"/>
    <w:rsid w:val="000774FE"/>
    <w:rsid w:val="0008738D"/>
    <w:rsid w:val="0009527D"/>
    <w:rsid w:val="00097173"/>
    <w:rsid w:val="000A3F94"/>
    <w:rsid w:val="000A7E2B"/>
    <w:rsid w:val="000C024C"/>
    <w:rsid w:val="000C490A"/>
    <w:rsid w:val="000D1177"/>
    <w:rsid w:val="000D44D9"/>
    <w:rsid w:val="000D7E72"/>
    <w:rsid w:val="000E1DF6"/>
    <w:rsid w:val="000E7E48"/>
    <w:rsid w:val="000F7C7A"/>
    <w:rsid w:val="001025F5"/>
    <w:rsid w:val="00115734"/>
    <w:rsid w:val="00122D4F"/>
    <w:rsid w:val="00130936"/>
    <w:rsid w:val="00134CE9"/>
    <w:rsid w:val="001361EF"/>
    <w:rsid w:val="0013651B"/>
    <w:rsid w:val="00136B1F"/>
    <w:rsid w:val="00151E99"/>
    <w:rsid w:val="0016049B"/>
    <w:rsid w:val="001667E3"/>
    <w:rsid w:val="00173AD7"/>
    <w:rsid w:val="00175DAB"/>
    <w:rsid w:val="00176FED"/>
    <w:rsid w:val="00180B65"/>
    <w:rsid w:val="001A7329"/>
    <w:rsid w:val="001D212D"/>
    <w:rsid w:val="001D2DAF"/>
    <w:rsid w:val="001D4943"/>
    <w:rsid w:val="001D500D"/>
    <w:rsid w:val="001E2AEB"/>
    <w:rsid w:val="001F4261"/>
    <w:rsid w:val="00203E45"/>
    <w:rsid w:val="002136DF"/>
    <w:rsid w:val="00216A53"/>
    <w:rsid w:val="0022474A"/>
    <w:rsid w:val="0022550E"/>
    <w:rsid w:val="0022685D"/>
    <w:rsid w:val="00231680"/>
    <w:rsid w:val="002401B4"/>
    <w:rsid w:val="00245019"/>
    <w:rsid w:val="00247338"/>
    <w:rsid w:val="002550E8"/>
    <w:rsid w:val="002563CE"/>
    <w:rsid w:val="00256A74"/>
    <w:rsid w:val="0025741A"/>
    <w:rsid w:val="00260985"/>
    <w:rsid w:val="00262CB8"/>
    <w:rsid w:val="002663C6"/>
    <w:rsid w:val="0027609E"/>
    <w:rsid w:val="00281618"/>
    <w:rsid w:val="0028686C"/>
    <w:rsid w:val="00294247"/>
    <w:rsid w:val="002963EC"/>
    <w:rsid w:val="00296A5F"/>
    <w:rsid w:val="002A2DD4"/>
    <w:rsid w:val="002A5CDB"/>
    <w:rsid w:val="002B1276"/>
    <w:rsid w:val="002C0432"/>
    <w:rsid w:val="002C2331"/>
    <w:rsid w:val="002C2E70"/>
    <w:rsid w:val="002C408C"/>
    <w:rsid w:val="002D3B18"/>
    <w:rsid w:val="002D488C"/>
    <w:rsid w:val="002D6B34"/>
    <w:rsid w:val="002E5485"/>
    <w:rsid w:val="002E6FF4"/>
    <w:rsid w:val="002E7893"/>
    <w:rsid w:val="002F55CA"/>
    <w:rsid w:val="002F5748"/>
    <w:rsid w:val="0031335F"/>
    <w:rsid w:val="00315BAC"/>
    <w:rsid w:val="00324765"/>
    <w:rsid w:val="00326D28"/>
    <w:rsid w:val="00332136"/>
    <w:rsid w:val="00332571"/>
    <w:rsid w:val="003362B8"/>
    <w:rsid w:val="00337AEB"/>
    <w:rsid w:val="003410A2"/>
    <w:rsid w:val="0034569D"/>
    <w:rsid w:val="003464C8"/>
    <w:rsid w:val="00347755"/>
    <w:rsid w:val="00347C7F"/>
    <w:rsid w:val="00356AC5"/>
    <w:rsid w:val="00374983"/>
    <w:rsid w:val="00375A07"/>
    <w:rsid w:val="003979F8"/>
    <w:rsid w:val="003B106A"/>
    <w:rsid w:val="003B77F3"/>
    <w:rsid w:val="003B7FB9"/>
    <w:rsid w:val="003C1932"/>
    <w:rsid w:val="003C5B26"/>
    <w:rsid w:val="003C63BF"/>
    <w:rsid w:val="003C78B1"/>
    <w:rsid w:val="003D0266"/>
    <w:rsid w:val="003D7F32"/>
    <w:rsid w:val="003E0D29"/>
    <w:rsid w:val="003E5126"/>
    <w:rsid w:val="003F131A"/>
    <w:rsid w:val="003F2CB3"/>
    <w:rsid w:val="004010EB"/>
    <w:rsid w:val="00411174"/>
    <w:rsid w:val="0041507D"/>
    <w:rsid w:val="0042358F"/>
    <w:rsid w:val="004239A6"/>
    <w:rsid w:val="004240BB"/>
    <w:rsid w:val="00425EDE"/>
    <w:rsid w:val="0042676C"/>
    <w:rsid w:val="00431940"/>
    <w:rsid w:val="00437AAF"/>
    <w:rsid w:val="00445AD3"/>
    <w:rsid w:val="00451148"/>
    <w:rsid w:val="00456A11"/>
    <w:rsid w:val="00490222"/>
    <w:rsid w:val="00490290"/>
    <w:rsid w:val="00490D55"/>
    <w:rsid w:val="004941C4"/>
    <w:rsid w:val="00496A7E"/>
    <w:rsid w:val="00496EED"/>
    <w:rsid w:val="004A070B"/>
    <w:rsid w:val="004A7C11"/>
    <w:rsid w:val="004B0254"/>
    <w:rsid w:val="004B5187"/>
    <w:rsid w:val="004C2670"/>
    <w:rsid w:val="004C3306"/>
    <w:rsid w:val="004C7FDB"/>
    <w:rsid w:val="004E1891"/>
    <w:rsid w:val="004E4CE1"/>
    <w:rsid w:val="005024D9"/>
    <w:rsid w:val="0050313C"/>
    <w:rsid w:val="00506AA1"/>
    <w:rsid w:val="00507ED5"/>
    <w:rsid w:val="005104EA"/>
    <w:rsid w:val="00512C07"/>
    <w:rsid w:val="00514217"/>
    <w:rsid w:val="00514E02"/>
    <w:rsid w:val="00521491"/>
    <w:rsid w:val="00562685"/>
    <w:rsid w:val="005651B0"/>
    <w:rsid w:val="005667FC"/>
    <w:rsid w:val="00577905"/>
    <w:rsid w:val="00583A21"/>
    <w:rsid w:val="0058577D"/>
    <w:rsid w:val="00585876"/>
    <w:rsid w:val="005868AF"/>
    <w:rsid w:val="00586F29"/>
    <w:rsid w:val="005979E3"/>
    <w:rsid w:val="005A0CEC"/>
    <w:rsid w:val="005A211A"/>
    <w:rsid w:val="005A7433"/>
    <w:rsid w:val="005B009F"/>
    <w:rsid w:val="005B0459"/>
    <w:rsid w:val="005C4D56"/>
    <w:rsid w:val="005D068B"/>
    <w:rsid w:val="005E0805"/>
    <w:rsid w:val="005E5158"/>
    <w:rsid w:val="005F1E0D"/>
    <w:rsid w:val="005F4327"/>
    <w:rsid w:val="00600770"/>
    <w:rsid w:val="00601E98"/>
    <w:rsid w:val="0060220C"/>
    <w:rsid w:val="00602F12"/>
    <w:rsid w:val="00604CB2"/>
    <w:rsid w:val="0061764B"/>
    <w:rsid w:val="00624475"/>
    <w:rsid w:val="006279DF"/>
    <w:rsid w:val="006349A4"/>
    <w:rsid w:val="00641AD0"/>
    <w:rsid w:val="0064465B"/>
    <w:rsid w:val="00646290"/>
    <w:rsid w:val="0065195D"/>
    <w:rsid w:val="006521B6"/>
    <w:rsid w:val="00655671"/>
    <w:rsid w:val="00663FF6"/>
    <w:rsid w:val="006651EE"/>
    <w:rsid w:val="006656D6"/>
    <w:rsid w:val="0069117F"/>
    <w:rsid w:val="0069500C"/>
    <w:rsid w:val="006A1DF4"/>
    <w:rsid w:val="006A37CF"/>
    <w:rsid w:val="006A49C5"/>
    <w:rsid w:val="006A52EB"/>
    <w:rsid w:val="006A7848"/>
    <w:rsid w:val="006B1896"/>
    <w:rsid w:val="006B6023"/>
    <w:rsid w:val="006B6F0F"/>
    <w:rsid w:val="006B7EEB"/>
    <w:rsid w:val="006C0869"/>
    <w:rsid w:val="006C63D9"/>
    <w:rsid w:val="006D079B"/>
    <w:rsid w:val="006D3753"/>
    <w:rsid w:val="006D3CD8"/>
    <w:rsid w:val="006D7C43"/>
    <w:rsid w:val="006E4C9B"/>
    <w:rsid w:val="006E5C86"/>
    <w:rsid w:val="007264BE"/>
    <w:rsid w:val="00737170"/>
    <w:rsid w:val="00745A22"/>
    <w:rsid w:val="00747D3D"/>
    <w:rsid w:val="00753163"/>
    <w:rsid w:val="00761C2C"/>
    <w:rsid w:val="0076705E"/>
    <w:rsid w:val="007727A4"/>
    <w:rsid w:val="00772B8F"/>
    <w:rsid w:val="00785EC8"/>
    <w:rsid w:val="00785F03"/>
    <w:rsid w:val="00791DE5"/>
    <w:rsid w:val="007A1FC2"/>
    <w:rsid w:val="007B2554"/>
    <w:rsid w:val="007D717C"/>
    <w:rsid w:val="007E09B2"/>
    <w:rsid w:val="007E46CB"/>
    <w:rsid w:val="007F06F6"/>
    <w:rsid w:val="007F117D"/>
    <w:rsid w:val="007F4BEF"/>
    <w:rsid w:val="007F74DF"/>
    <w:rsid w:val="00800996"/>
    <w:rsid w:val="00802366"/>
    <w:rsid w:val="008024ED"/>
    <w:rsid w:val="00810591"/>
    <w:rsid w:val="00816027"/>
    <w:rsid w:val="00820132"/>
    <w:rsid w:val="00820288"/>
    <w:rsid w:val="00820698"/>
    <w:rsid w:val="00820A7D"/>
    <w:rsid w:val="0082169D"/>
    <w:rsid w:val="00821F87"/>
    <w:rsid w:val="008250F9"/>
    <w:rsid w:val="00827711"/>
    <w:rsid w:val="00827C0B"/>
    <w:rsid w:val="00830F14"/>
    <w:rsid w:val="00832443"/>
    <w:rsid w:val="008345AB"/>
    <w:rsid w:val="008371F5"/>
    <w:rsid w:val="008375E8"/>
    <w:rsid w:val="008376BC"/>
    <w:rsid w:val="00837DA1"/>
    <w:rsid w:val="00846587"/>
    <w:rsid w:val="008510E5"/>
    <w:rsid w:val="00864953"/>
    <w:rsid w:val="00865D05"/>
    <w:rsid w:val="0086686D"/>
    <w:rsid w:val="008703D8"/>
    <w:rsid w:val="00872D54"/>
    <w:rsid w:val="00880AF7"/>
    <w:rsid w:val="00880BAB"/>
    <w:rsid w:val="00887109"/>
    <w:rsid w:val="00893C96"/>
    <w:rsid w:val="008A7F92"/>
    <w:rsid w:val="008B21C1"/>
    <w:rsid w:val="008B659E"/>
    <w:rsid w:val="008C6F4B"/>
    <w:rsid w:val="008D21EB"/>
    <w:rsid w:val="008D737C"/>
    <w:rsid w:val="008D7ABC"/>
    <w:rsid w:val="0091303A"/>
    <w:rsid w:val="00940DC3"/>
    <w:rsid w:val="009421F3"/>
    <w:rsid w:val="009435B9"/>
    <w:rsid w:val="00951508"/>
    <w:rsid w:val="00954674"/>
    <w:rsid w:val="009625CD"/>
    <w:rsid w:val="009652F2"/>
    <w:rsid w:val="00972822"/>
    <w:rsid w:val="0097652B"/>
    <w:rsid w:val="00976E97"/>
    <w:rsid w:val="009840A1"/>
    <w:rsid w:val="009919B5"/>
    <w:rsid w:val="009A0217"/>
    <w:rsid w:val="009A3539"/>
    <w:rsid w:val="009B15E6"/>
    <w:rsid w:val="009B48B3"/>
    <w:rsid w:val="009D418D"/>
    <w:rsid w:val="009D7DD1"/>
    <w:rsid w:val="009F304E"/>
    <w:rsid w:val="009F760D"/>
    <w:rsid w:val="00A0036D"/>
    <w:rsid w:val="00A02BE9"/>
    <w:rsid w:val="00A06D79"/>
    <w:rsid w:val="00A14A65"/>
    <w:rsid w:val="00A20FBE"/>
    <w:rsid w:val="00A23211"/>
    <w:rsid w:val="00A246DB"/>
    <w:rsid w:val="00A258C5"/>
    <w:rsid w:val="00A34B72"/>
    <w:rsid w:val="00A46089"/>
    <w:rsid w:val="00A55197"/>
    <w:rsid w:val="00A56602"/>
    <w:rsid w:val="00A67126"/>
    <w:rsid w:val="00A70AC1"/>
    <w:rsid w:val="00A80D9A"/>
    <w:rsid w:val="00A84E05"/>
    <w:rsid w:val="00A8616F"/>
    <w:rsid w:val="00A8790A"/>
    <w:rsid w:val="00A93805"/>
    <w:rsid w:val="00A94E64"/>
    <w:rsid w:val="00A9558B"/>
    <w:rsid w:val="00AA11F7"/>
    <w:rsid w:val="00AA15FA"/>
    <w:rsid w:val="00AA4B5A"/>
    <w:rsid w:val="00AA621F"/>
    <w:rsid w:val="00AA632B"/>
    <w:rsid w:val="00AB0C7E"/>
    <w:rsid w:val="00AB28F9"/>
    <w:rsid w:val="00AC118F"/>
    <w:rsid w:val="00AD3C12"/>
    <w:rsid w:val="00AD417E"/>
    <w:rsid w:val="00AD74D7"/>
    <w:rsid w:val="00AD76AF"/>
    <w:rsid w:val="00AE3795"/>
    <w:rsid w:val="00AE66F9"/>
    <w:rsid w:val="00AE6712"/>
    <w:rsid w:val="00AF0DC8"/>
    <w:rsid w:val="00AF18C2"/>
    <w:rsid w:val="00AF202F"/>
    <w:rsid w:val="00AF2380"/>
    <w:rsid w:val="00B02AB0"/>
    <w:rsid w:val="00B116E2"/>
    <w:rsid w:val="00B22D51"/>
    <w:rsid w:val="00B36790"/>
    <w:rsid w:val="00B4088A"/>
    <w:rsid w:val="00B44429"/>
    <w:rsid w:val="00B4488E"/>
    <w:rsid w:val="00B45271"/>
    <w:rsid w:val="00B5162F"/>
    <w:rsid w:val="00B51B6F"/>
    <w:rsid w:val="00B53AEA"/>
    <w:rsid w:val="00B54CE3"/>
    <w:rsid w:val="00B55391"/>
    <w:rsid w:val="00B740E8"/>
    <w:rsid w:val="00B85AC6"/>
    <w:rsid w:val="00BA1282"/>
    <w:rsid w:val="00BB22C2"/>
    <w:rsid w:val="00BB7AC6"/>
    <w:rsid w:val="00BE330A"/>
    <w:rsid w:val="00BE3657"/>
    <w:rsid w:val="00BE39FC"/>
    <w:rsid w:val="00BF0563"/>
    <w:rsid w:val="00BF4B6E"/>
    <w:rsid w:val="00BF7F67"/>
    <w:rsid w:val="00C054EB"/>
    <w:rsid w:val="00C05A37"/>
    <w:rsid w:val="00C06848"/>
    <w:rsid w:val="00C2551D"/>
    <w:rsid w:val="00C26C38"/>
    <w:rsid w:val="00C34360"/>
    <w:rsid w:val="00C360AF"/>
    <w:rsid w:val="00C43DDC"/>
    <w:rsid w:val="00C51FA9"/>
    <w:rsid w:val="00C67007"/>
    <w:rsid w:val="00C72E95"/>
    <w:rsid w:val="00C77270"/>
    <w:rsid w:val="00C843AB"/>
    <w:rsid w:val="00C97B9D"/>
    <w:rsid w:val="00CA152B"/>
    <w:rsid w:val="00CA36FA"/>
    <w:rsid w:val="00CA74E5"/>
    <w:rsid w:val="00CB139E"/>
    <w:rsid w:val="00CC25F1"/>
    <w:rsid w:val="00CC38EE"/>
    <w:rsid w:val="00CC39D4"/>
    <w:rsid w:val="00CD2412"/>
    <w:rsid w:val="00CD65CE"/>
    <w:rsid w:val="00CD7AF4"/>
    <w:rsid w:val="00CE147E"/>
    <w:rsid w:val="00CE5A63"/>
    <w:rsid w:val="00CE70BD"/>
    <w:rsid w:val="00CE747F"/>
    <w:rsid w:val="00CE7C31"/>
    <w:rsid w:val="00D035B2"/>
    <w:rsid w:val="00D044B6"/>
    <w:rsid w:val="00D07052"/>
    <w:rsid w:val="00D07250"/>
    <w:rsid w:val="00D13998"/>
    <w:rsid w:val="00D14DC9"/>
    <w:rsid w:val="00D20053"/>
    <w:rsid w:val="00D207C6"/>
    <w:rsid w:val="00D220AE"/>
    <w:rsid w:val="00D32BA7"/>
    <w:rsid w:val="00D32C1F"/>
    <w:rsid w:val="00D332AA"/>
    <w:rsid w:val="00D4085E"/>
    <w:rsid w:val="00D421A4"/>
    <w:rsid w:val="00D46A68"/>
    <w:rsid w:val="00D50438"/>
    <w:rsid w:val="00D60C47"/>
    <w:rsid w:val="00D62962"/>
    <w:rsid w:val="00D779D0"/>
    <w:rsid w:val="00D806D5"/>
    <w:rsid w:val="00D8517A"/>
    <w:rsid w:val="00D90372"/>
    <w:rsid w:val="00D9274C"/>
    <w:rsid w:val="00D94461"/>
    <w:rsid w:val="00D975DD"/>
    <w:rsid w:val="00DB1FA3"/>
    <w:rsid w:val="00DB34C1"/>
    <w:rsid w:val="00DB73A8"/>
    <w:rsid w:val="00DC34CC"/>
    <w:rsid w:val="00DD45F8"/>
    <w:rsid w:val="00DD7462"/>
    <w:rsid w:val="00DE18A8"/>
    <w:rsid w:val="00DE3DCB"/>
    <w:rsid w:val="00DE69A1"/>
    <w:rsid w:val="00DF2099"/>
    <w:rsid w:val="00DF7A3A"/>
    <w:rsid w:val="00E00427"/>
    <w:rsid w:val="00E03B15"/>
    <w:rsid w:val="00E03CFA"/>
    <w:rsid w:val="00E04709"/>
    <w:rsid w:val="00E136FE"/>
    <w:rsid w:val="00E13CAB"/>
    <w:rsid w:val="00E1792D"/>
    <w:rsid w:val="00E218BD"/>
    <w:rsid w:val="00E36253"/>
    <w:rsid w:val="00E71662"/>
    <w:rsid w:val="00E74E3D"/>
    <w:rsid w:val="00E9165D"/>
    <w:rsid w:val="00E92618"/>
    <w:rsid w:val="00E959C4"/>
    <w:rsid w:val="00E966F9"/>
    <w:rsid w:val="00EB0860"/>
    <w:rsid w:val="00EB6518"/>
    <w:rsid w:val="00EC458F"/>
    <w:rsid w:val="00EC5500"/>
    <w:rsid w:val="00ED0601"/>
    <w:rsid w:val="00ED58F4"/>
    <w:rsid w:val="00EE14C2"/>
    <w:rsid w:val="00EE44BB"/>
    <w:rsid w:val="00EF4B53"/>
    <w:rsid w:val="00F129CC"/>
    <w:rsid w:val="00F2198E"/>
    <w:rsid w:val="00F36460"/>
    <w:rsid w:val="00F40853"/>
    <w:rsid w:val="00F47A00"/>
    <w:rsid w:val="00F56D02"/>
    <w:rsid w:val="00F67714"/>
    <w:rsid w:val="00F91C75"/>
    <w:rsid w:val="00F9321D"/>
    <w:rsid w:val="00F9403E"/>
    <w:rsid w:val="00F95387"/>
    <w:rsid w:val="00FA116B"/>
    <w:rsid w:val="00FA2CBD"/>
    <w:rsid w:val="00FA398C"/>
    <w:rsid w:val="00FA4A8D"/>
    <w:rsid w:val="00FA6745"/>
    <w:rsid w:val="00FA6BF9"/>
    <w:rsid w:val="00FB330A"/>
    <w:rsid w:val="00FB46D8"/>
    <w:rsid w:val="00FB4FFD"/>
    <w:rsid w:val="00FC19AF"/>
    <w:rsid w:val="00FC63BC"/>
    <w:rsid w:val="00FD1156"/>
    <w:rsid w:val="00FD550B"/>
    <w:rsid w:val="00FD59F3"/>
    <w:rsid w:val="00FD7923"/>
    <w:rsid w:val="00FE2A57"/>
    <w:rsid w:val="00FE3D5C"/>
    <w:rsid w:val="00FE7CA6"/>
    <w:rsid w:val="00FF01DB"/>
    <w:rsid w:val="00FF1307"/>
    <w:rsid w:val="00FF7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97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AB"/>
    <w:pPr>
      <w:ind w:left="720"/>
      <w:contextualSpacing/>
    </w:pPr>
  </w:style>
  <w:style w:type="paragraph" w:styleId="Footer">
    <w:name w:val="footer"/>
    <w:basedOn w:val="Normal"/>
    <w:link w:val="FooterChar"/>
    <w:uiPriority w:val="99"/>
    <w:unhideWhenUsed/>
    <w:rsid w:val="002C2E70"/>
    <w:pPr>
      <w:tabs>
        <w:tab w:val="center" w:pos="4320"/>
        <w:tab w:val="right" w:pos="8640"/>
      </w:tabs>
    </w:pPr>
  </w:style>
  <w:style w:type="character" w:customStyle="1" w:styleId="FooterChar">
    <w:name w:val="Footer Char"/>
    <w:basedOn w:val="DefaultParagraphFont"/>
    <w:link w:val="Footer"/>
    <w:uiPriority w:val="99"/>
    <w:rsid w:val="002C2E70"/>
  </w:style>
  <w:style w:type="character" w:styleId="PageNumber">
    <w:name w:val="page number"/>
    <w:basedOn w:val="DefaultParagraphFont"/>
    <w:uiPriority w:val="99"/>
    <w:semiHidden/>
    <w:unhideWhenUsed/>
    <w:rsid w:val="002C2E70"/>
  </w:style>
  <w:style w:type="paragraph" w:styleId="BalloonText">
    <w:name w:val="Balloon Text"/>
    <w:basedOn w:val="Normal"/>
    <w:link w:val="BalloonTextChar"/>
    <w:uiPriority w:val="99"/>
    <w:semiHidden/>
    <w:unhideWhenUsed/>
    <w:rsid w:val="002550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0E8"/>
    <w:rPr>
      <w:rFonts w:ascii="Lucida Grande" w:hAnsi="Lucida Grande" w:cs="Lucida Grande"/>
      <w:sz w:val="18"/>
      <w:szCs w:val="18"/>
    </w:rPr>
  </w:style>
  <w:style w:type="table" w:styleId="TableGrid">
    <w:name w:val="Table Grid"/>
    <w:basedOn w:val="TableNormal"/>
    <w:uiPriority w:val="59"/>
    <w:rsid w:val="002550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68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AB"/>
    <w:pPr>
      <w:ind w:left="720"/>
      <w:contextualSpacing/>
    </w:pPr>
  </w:style>
  <w:style w:type="paragraph" w:styleId="Footer">
    <w:name w:val="footer"/>
    <w:basedOn w:val="Normal"/>
    <w:link w:val="FooterChar"/>
    <w:uiPriority w:val="99"/>
    <w:unhideWhenUsed/>
    <w:rsid w:val="002C2E70"/>
    <w:pPr>
      <w:tabs>
        <w:tab w:val="center" w:pos="4320"/>
        <w:tab w:val="right" w:pos="8640"/>
      </w:tabs>
    </w:pPr>
  </w:style>
  <w:style w:type="character" w:customStyle="1" w:styleId="FooterChar">
    <w:name w:val="Footer Char"/>
    <w:basedOn w:val="DefaultParagraphFont"/>
    <w:link w:val="Footer"/>
    <w:uiPriority w:val="99"/>
    <w:rsid w:val="002C2E70"/>
  </w:style>
  <w:style w:type="character" w:styleId="PageNumber">
    <w:name w:val="page number"/>
    <w:basedOn w:val="DefaultParagraphFont"/>
    <w:uiPriority w:val="99"/>
    <w:semiHidden/>
    <w:unhideWhenUsed/>
    <w:rsid w:val="002C2E70"/>
  </w:style>
  <w:style w:type="paragraph" w:styleId="BalloonText">
    <w:name w:val="Balloon Text"/>
    <w:basedOn w:val="Normal"/>
    <w:link w:val="BalloonTextChar"/>
    <w:uiPriority w:val="99"/>
    <w:semiHidden/>
    <w:unhideWhenUsed/>
    <w:rsid w:val="002550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0E8"/>
    <w:rPr>
      <w:rFonts w:ascii="Lucida Grande" w:hAnsi="Lucida Grande" w:cs="Lucida Grande"/>
      <w:sz w:val="18"/>
      <w:szCs w:val="18"/>
    </w:rPr>
  </w:style>
  <w:style w:type="table" w:styleId="TableGrid">
    <w:name w:val="Table Grid"/>
    <w:basedOn w:val="TableNormal"/>
    <w:uiPriority w:val="59"/>
    <w:rsid w:val="002550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68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eurosurg.cam.ac.uk/icmplu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AB367-3136-D04A-A940-CF643B74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2694</Words>
  <Characters>15359</Characters>
  <Application>Microsoft Macintosh Word</Application>
  <DocSecurity>0</DocSecurity>
  <Lines>127</Lines>
  <Paragraphs>36</Paragraphs>
  <ScaleCrop>false</ScaleCrop>
  <Company/>
  <LinksUpToDate>false</LinksUpToDate>
  <CharactersWithSpaces>18017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Stacia DeSantis</dc:creator>
  <cp:keywords/>
  <dc:description/>
  <cp:lastModifiedBy>Stacia DeSantis</cp:lastModifiedBy>
  <cp:revision>16</cp:revision>
  <cp:lastPrinted>2014-01-08T01:30:00Z</cp:lastPrinted>
  <dcterms:created xsi:type="dcterms:W3CDTF">2015-01-12T17:25:00Z</dcterms:created>
  <dcterms:modified xsi:type="dcterms:W3CDTF">2015-01-27T22:02:00Z</dcterms:modified>
</cp:coreProperties>
</file>