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0"/>
          <w:szCs w:val="40"/>
        </w:rPr>
        <w:t xml:space="preserve">DevSecOps Tooling Implementation Report</w:t>
      </w:r>
    </w:p>
    <w:p>
      <w:pPr>
        <w:spacing w:after="400"/>
        <w:jc w:val="center"/>
      </w:pPr>
      <w:r>
        <w:rPr>
          <w:color w:val="444444"/>
          <w:sz w:val="24"/>
          <w:szCs w:val="24"/>
        </w:rPr>
        <w:t xml:space="preserve">Tele-Taleem — Moodle LMS Infrastructure &amp; Security Enhancement Initiative</w:t>
      </w:r>
    </w:p>
    <w:p>
      <w:pPr>
        <w:spacing w:after="40"/>
        <w:jc w:val="center"/>
      </w:pPr>
      <w:r>
        <w:rPr>
          <w:sz w:val="22"/>
          <w:szCs w:val="22"/>
        </w:rPr>
        <w:t xml:space="preserve">Prepared by: Muhammad Tayyab</w:t>
      </w:r>
    </w:p>
    <w:p>
      <w:pPr>
        <w:spacing w:after="40"/>
        <w:jc w:val="center"/>
      </w:pPr>
      <w:r>
        <w:rPr>
          <w:sz w:val="22"/>
          <w:szCs w:val="22"/>
        </w:rPr>
        <w:t xml:space="preserve">Role: DevOps / Cloud Engineer</w:t>
      </w:r>
    </w:p>
    <w:p>
      <w:pPr>
        <w:spacing w:after="600"/>
        <w:jc w:val="center"/>
      </w:pPr>
      <w:r>
        <w:rPr>
          <w:sz w:val="22"/>
          <w:szCs w:val="22"/>
        </w:rPr>
        <w:t xml:space="preserve">Date: July 29, 2026</w:t>
      </w:r>
    </w:p>
    <w:p>
      <w:r>
        <w:br w:type="page"/>
      </w:r>
    </w:p>
    <w:p>
      <w:pPr>
        <w:pStyle w:val="Heading1"/>
        <w:spacing w:after="150" w:before="300"/>
      </w:pPr>
      <w:r>
        <w:t xml:space="preserve">1. Executive Summary</w:t>
      </w:r>
    </w:p>
    <w:p>
      <w:pPr>
        <w:spacing w:after="160"/>
        <w:jc w:val="both"/>
      </w:pPr>
      <w:r>
        <w:t xml:space="preserve">Since joining Tele-Taleem, I have undertaken a structured, hands-on DevSecOps upskilling program covering the full lifecycle of modern infrastructure and application security — from core Linux/server administration through containerization, infrastructure as code, CI/CD, and a comprehensive set of open-source security tools. This report summarizes the tools already implemented and validated in a lab/staging environment, and outlines the plan to formalize this tooling into a repeatable, production-facing DevSecOps pipeline for our Moodle LMS infrastructure, built around Docker containerization and an automated CI/CD pipeline with integrated security gates.</w:t>
      </w:r>
    </w:p>
    <w:p>
      <w:pPr>
        <w:pStyle w:val="Heading1"/>
        <w:spacing w:after="150" w:before="300"/>
      </w:pPr>
      <w:r>
        <w:t xml:space="preserve">2. Objective</w:t>
      </w:r>
    </w:p>
    <w:p>
      <w:pPr>
        <w:spacing w:after="160"/>
        <w:jc w:val="both"/>
      </w:pPr>
      <w:r>
        <w:t xml:space="preserve">The objective of this initiative is to reduce security risk and operational incidents on our production Moodle LMS (server49 and related infrastructure) by embedding security checks at every stage of the software delivery lifecycle — commonly referred to as "shift-left security" — rather than discovering issues after deployment. This directly addresses recurring production incidents previously diagnosed and documented (MySQL/Apache resource exhaustion, unauthorized webshell scanning attempts, SSL/configuration issues) by introducing preventive controls, continuous scanning, and policy enforcement before changes reach production.</w:t>
      </w:r>
    </w:p>
    <w:p>
      <w:pPr>
        <w:pStyle w:val="Heading1"/>
        <w:spacing w:after="150" w:before="300"/>
      </w:pPr>
      <w:r>
        <w:t xml:space="preserve">3. Foundational Infrastructure Tools</w:t>
      </w:r>
    </w:p>
    <w:p>
      <w:pPr>
        <w:spacing w:after="160"/>
        <w:jc w:val="both"/>
      </w:pPr>
      <w:r>
        <w:t xml:space="preserve">Before layering in security tooling, the following core infrastructure and delivery tools were implemented and are already in active use. These form the platform on which the security pipeline in Section 4 is built.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850"/>
        <w:gridCol w:w="1000"/>
      </w:tblGrid>
      <w:tr>
        <w:trPr>
          <w:tblHeader/>
        </w:trPr>
        <w:tc>
          <w:tcPr>
            <w:tcW w:type="dxa" w:w="1900"/>
            <w:shd w:fill="1F3864" w:val="clear"/>
            <w:tcMar>
              <w:top w:type="dxa" w:w="80"/>
              <w:left w:type="dxa" w:w="100"/>
              <w:bottom w:type="dxa" w:w="80"/>
              <w:right w:type="dxa" w:w="100"/>
            </w:tcMar>
          </w:tcPr>
          <w:p>
            <w:pPr>
              <w:spacing w:after="0"/>
            </w:pPr>
            <w:r>
              <w:rPr>
                <w:b/>
                <w:bCs/>
                <w:color w:val="FFFFFF"/>
                <w:sz w:val="20"/>
                <w:szCs w:val="20"/>
              </w:rPr>
              <w:t xml:space="preserve">Category</w:t>
            </w:r>
          </w:p>
        </w:tc>
        <w:tc>
          <w:tcPr>
            <w:tcW w:type="dxa" w:w="2600"/>
            <w:shd w:fill="1F3864" w:val="clear"/>
            <w:tcMar>
              <w:top w:type="dxa" w:w="80"/>
              <w:left w:type="dxa" w:w="100"/>
              <w:bottom w:type="dxa" w:w="80"/>
              <w:right w:type="dxa" w:w="100"/>
            </w:tcMar>
          </w:tcPr>
          <w:p>
            <w:pPr>
              <w:spacing w:after="0"/>
            </w:pPr>
            <w:r>
              <w:rPr>
                <w:b/>
                <w:bCs/>
                <w:color w:val="FFFFFF"/>
                <w:sz w:val="20"/>
                <w:szCs w:val="20"/>
              </w:rPr>
              <w:t xml:space="preserve">Tool</w:t>
            </w:r>
          </w:p>
        </w:tc>
        <w:tc>
          <w:tcPr>
            <w:tcW w:type="dxa" w:w="3850"/>
            <w:shd w:fill="1F3864" w:val="clear"/>
            <w:tcMar>
              <w:top w:type="dxa" w:w="80"/>
              <w:left w:type="dxa" w:w="100"/>
              <w:bottom w:type="dxa" w:w="80"/>
              <w:right w:type="dxa" w:w="100"/>
            </w:tcMar>
          </w:tcPr>
          <w:p>
            <w:pPr>
              <w:spacing w:after="0"/>
            </w:pPr>
            <w:r>
              <w:rPr>
                <w:b/>
                <w:bCs/>
                <w:color w:val="FFFFFF"/>
                <w:sz w:val="20"/>
                <w:szCs w:val="20"/>
              </w:rPr>
              <w:t xml:space="preserve">Purpose / Use Case</w:t>
            </w:r>
          </w:p>
        </w:tc>
        <w:tc>
          <w:tcPr>
            <w:tcW w:type="dxa" w:w="1000"/>
            <w:shd w:fill="1F3864" w:val="clear"/>
            <w:tcMar>
              <w:top w:type="dxa" w:w="80"/>
              <w:left w:type="dxa" w:w="100"/>
              <w:bottom w:type="dxa" w:w="80"/>
              <w:right w:type="dxa" w:w="100"/>
            </w:tcMar>
          </w:tcPr>
          <w:p>
            <w:pPr>
              <w:spacing w:after="0"/>
            </w:pPr>
            <w:r>
              <w:rPr>
                <w:b/>
                <w:bCs/>
                <w:color w:val="FFFFFF"/>
                <w:sz w:val="20"/>
                <w:szCs w:val="20"/>
              </w:rPr>
              <w:t xml:space="preserve">Status</w:t>
            </w:r>
          </w:p>
        </w:tc>
      </w:tr>
      <w:tr>
        <w:tc>
          <w:tcPr>
            <w:tcW w:type="dxa" w:w="1900"/>
            <w:tcMar>
              <w:top w:type="dxa" w:w="80"/>
              <w:left w:type="dxa" w:w="100"/>
              <w:bottom w:type="dxa" w:w="80"/>
              <w:right w:type="dxa" w:w="100"/>
            </w:tcMar>
          </w:tcPr>
          <w:p>
            <w:pPr>
              <w:spacing w:after="0"/>
            </w:pPr>
            <w:r>
              <w:rPr>
                <w:color w:val="000000"/>
                <w:sz w:val="20"/>
                <w:szCs w:val="20"/>
              </w:rPr>
              <w:t xml:space="preserve">Core Infrastructure</w:t>
            </w:r>
          </w:p>
        </w:tc>
        <w:tc>
          <w:tcPr>
            <w:tcW w:type="dxa" w:w="2600"/>
            <w:tcMar>
              <w:top w:type="dxa" w:w="80"/>
              <w:left w:type="dxa" w:w="100"/>
              <w:bottom w:type="dxa" w:w="80"/>
              <w:right w:type="dxa" w:w="100"/>
            </w:tcMar>
          </w:tcPr>
          <w:p>
            <w:pPr>
              <w:spacing w:after="0"/>
            </w:pPr>
            <w:r>
              <w:rPr>
                <w:color w:val="000000"/>
                <w:sz w:val="20"/>
                <w:szCs w:val="20"/>
              </w:rPr>
              <w:t xml:space="preserve">Linux &amp; Linux Servers</w:t>
            </w:r>
          </w:p>
        </w:tc>
        <w:tc>
          <w:tcPr>
            <w:tcW w:type="dxa" w:w="3850"/>
            <w:tcMar>
              <w:top w:type="dxa" w:w="80"/>
              <w:left w:type="dxa" w:w="100"/>
              <w:bottom w:type="dxa" w:w="80"/>
              <w:right w:type="dxa" w:w="100"/>
            </w:tcMar>
          </w:tcPr>
          <w:p>
            <w:pPr>
              <w:spacing w:after="0"/>
            </w:pPr>
            <w:r>
              <w:rPr>
                <w:color w:val="000000"/>
                <w:sz w:val="20"/>
                <w:szCs w:val="20"/>
              </w:rPr>
              <w:t xml:space="preserve">Production server administration (Apache, MySQL, DNS, DHCP, Web, FTP, SMB) for Moodle LMS hosting</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Containerization</w:t>
            </w:r>
          </w:p>
        </w:tc>
        <w:tc>
          <w:tcPr>
            <w:tcW w:type="dxa" w:w="2600"/>
            <w:tcMar>
              <w:top w:type="dxa" w:w="80"/>
              <w:left w:type="dxa" w:w="100"/>
              <w:bottom w:type="dxa" w:w="80"/>
              <w:right w:type="dxa" w:w="100"/>
            </w:tcMar>
          </w:tcPr>
          <w:p>
            <w:pPr>
              <w:spacing w:after="0"/>
            </w:pPr>
            <w:r>
              <w:rPr>
                <w:color w:val="000000"/>
                <w:sz w:val="20"/>
                <w:szCs w:val="20"/>
              </w:rPr>
              <w:t xml:space="preserve">Docker</w:t>
            </w:r>
          </w:p>
        </w:tc>
        <w:tc>
          <w:tcPr>
            <w:tcW w:type="dxa" w:w="3850"/>
            <w:tcMar>
              <w:top w:type="dxa" w:w="80"/>
              <w:left w:type="dxa" w:w="100"/>
              <w:bottom w:type="dxa" w:w="80"/>
              <w:right w:type="dxa" w:w="100"/>
            </w:tcMar>
          </w:tcPr>
          <w:p>
            <w:pPr>
              <w:spacing w:after="0"/>
            </w:pPr>
            <w:r>
              <w:rPr>
                <w:color w:val="000000"/>
                <w:sz w:val="20"/>
                <w:szCs w:val="20"/>
              </w:rPr>
              <w:t xml:space="preserve">Containerizing applications for consistent, portable deployment</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Configuration Mgmt</w:t>
            </w:r>
          </w:p>
        </w:tc>
        <w:tc>
          <w:tcPr>
            <w:tcW w:type="dxa" w:w="2600"/>
            <w:tcMar>
              <w:top w:type="dxa" w:w="80"/>
              <w:left w:type="dxa" w:w="100"/>
              <w:bottom w:type="dxa" w:w="80"/>
              <w:right w:type="dxa" w:w="100"/>
            </w:tcMar>
          </w:tcPr>
          <w:p>
            <w:pPr>
              <w:spacing w:after="0"/>
            </w:pPr>
            <w:r>
              <w:rPr>
                <w:color w:val="000000"/>
                <w:sz w:val="20"/>
                <w:szCs w:val="20"/>
              </w:rPr>
              <w:t xml:space="preserve">Ansible</w:t>
            </w:r>
          </w:p>
        </w:tc>
        <w:tc>
          <w:tcPr>
            <w:tcW w:type="dxa" w:w="3850"/>
            <w:tcMar>
              <w:top w:type="dxa" w:w="80"/>
              <w:left w:type="dxa" w:w="100"/>
              <w:bottom w:type="dxa" w:w="80"/>
              <w:right w:type="dxa" w:w="100"/>
            </w:tcMar>
          </w:tcPr>
          <w:p>
            <w:pPr>
              <w:spacing w:after="0"/>
            </w:pPr>
            <w:r>
              <w:rPr>
                <w:color w:val="000000"/>
                <w:sz w:val="20"/>
                <w:szCs w:val="20"/>
              </w:rPr>
              <w:t xml:space="preserve">Automated server provisioning and configuration (inventory, playbooks, roles)</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Infrastructure as Code</w:t>
            </w:r>
          </w:p>
        </w:tc>
        <w:tc>
          <w:tcPr>
            <w:tcW w:type="dxa" w:w="2600"/>
            <w:tcMar>
              <w:top w:type="dxa" w:w="80"/>
              <w:left w:type="dxa" w:w="100"/>
              <w:bottom w:type="dxa" w:w="80"/>
              <w:right w:type="dxa" w:w="100"/>
            </w:tcMar>
          </w:tcPr>
          <w:p>
            <w:pPr>
              <w:spacing w:after="0"/>
            </w:pPr>
            <w:r>
              <w:rPr>
                <w:color w:val="000000"/>
                <w:sz w:val="20"/>
                <w:szCs w:val="20"/>
              </w:rPr>
              <w:t xml:space="preserve">Terraform</w:t>
            </w:r>
          </w:p>
        </w:tc>
        <w:tc>
          <w:tcPr>
            <w:tcW w:type="dxa" w:w="3850"/>
            <w:tcMar>
              <w:top w:type="dxa" w:w="80"/>
              <w:left w:type="dxa" w:w="100"/>
              <w:bottom w:type="dxa" w:w="80"/>
              <w:right w:type="dxa" w:w="100"/>
            </w:tcMar>
          </w:tcPr>
          <w:p>
            <w:pPr>
              <w:spacing w:after="0"/>
            </w:pPr>
            <w:r>
              <w:rPr>
                <w:color w:val="000000"/>
                <w:sz w:val="20"/>
                <w:szCs w:val="20"/>
              </w:rPr>
              <w:t xml:space="preserve">AWS infrastructure provisioning (VPC, EC2, S3, IAM), remote state, modules</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Monitoring</w:t>
            </w:r>
          </w:p>
        </w:tc>
        <w:tc>
          <w:tcPr>
            <w:tcW w:type="dxa" w:w="2600"/>
            <w:tcMar>
              <w:top w:type="dxa" w:w="80"/>
              <w:left w:type="dxa" w:w="100"/>
              <w:bottom w:type="dxa" w:w="80"/>
              <w:right w:type="dxa" w:w="100"/>
            </w:tcMar>
          </w:tcPr>
          <w:p>
            <w:pPr>
              <w:spacing w:after="0"/>
            </w:pPr>
            <w:r>
              <w:rPr>
                <w:color w:val="000000"/>
                <w:sz w:val="20"/>
                <w:szCs w:val="20"/>
              </w:rPr>
              <w:t xml:space="preserve">Prometheus &amp; Grafana</w:t>
            </w:r>
          </w:p>
        </w:tc>
        <w:tc>
          <w:tcPr>
            <w:tcW w:type="dxa" w:w="3850"/>
            <w:tcMar>
              <w:top w:type="dxa" w:w="80"/>
              <w:left w:type="dxa" w:w="100"/>
              <w:bottom w:type="dxa" w:w="80"/>
              <w:right w:type="dxa" w:w="100"/>
            </w:tcMar>
          </w:tcPr>
          <w:p>
            <w:pPr>
              <w:spacing w:after="0"/>
            </w:pPr>
            <w:r>
              <w:rPr>
                <w:color w:val="000000"/>
                <w:sz w:val="20"/>
                <w:szCs w:val="20"/>
              </w:rPr>
              <w:t xml:space="preserve">Infrastructure and application metrics, dashboards, alerting</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CI/CD Engine</w:t>
            </w:r>
          </w:p>
        </w:tc>
        <w:tc>
          <w:tcPr>
            <w:tcW w:type="dxa" w:w="2600"/>
            <w:tcMar>
              <w:top w:type="dxa" w:w="80"/>
              <w:left w:type="dxa" w:w="100"/>
              <w:bottom w:type="dxa" w:w="80"/>
              <w:right w:type="dxa" w:w="100"/>
            </w:tcMar>
          </w:tcPr>
          <w:p>
            <w:pPr>
              <w:spacing w:after="0"/>
            </w:pPr>
            <w:r>
              <w:rPr>
                <w:color w:val="000000"/>
                <w:sz w:val="20"/>
                <w:szCs w:val="20"/>
              </w:rPr>
              <w:t xml:space="preserve">Jenkins</w:t>
            </w:r>
          </w:p>
        </w:tc>
        <w:tc>
          <w:tcPr>
            <w:tcW w:type="dxa" w:w="3850"/>
            <w:tcMar>
              <w:top w:type="dxa" w:w="80"/>
              <w:left w:type="dxa" w:w="100"/>
              <w:bottom w:type="dxa" w:w="80"/>
              <w:right w:type="dxa" w:w="100"/>
            </w:tcMar>
          </w:tcPr>
          <w:p>
            <w:pPr>
              <w:spacing w:after="0"/>
            </w:pPr>
            <w:r>
              <w:rPr>
                <w:color w:val="000000"/>
                <w:sz w:val="20"/>
                <w:szCs w:val="20"/>
              </w:rPr>
              <w:t xml:space="preserve">Build/deploy automation pipelines</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Version Control</w:t>
            </w:r>
          </w:p>
        </w:tc>
        <w:tc>
          <w:tcPr>
            <w:tcW w:type="dxa" w:w="2600"/>
            <w:tcMar>
              <w:top w:type="dxa" w:w="80"/>
              <w:left w:type="dxa" w:w="100"/>
              <w:bottom w:type="dxa" w:w="80"/>
              <w:right w:type="dxa" w:w="100"/>
            </w:tcMar>
          </w:tcPr>
          <w:p>
            <w:pPr>
              <w:spacing w:after="0"/>
            </w:pPr>
            <w:r>
              <w:rPr>
                <w:color w:val="000000"/>
                <w:sz w:val="20"/>
                <w:szCs w:val="20"/>
              </w:rPr>
              <w:t xml:space="preserve">Git &amp; GitHub</w:t>
            </w:r>
          </w:p>
        </w:tc>
        <w:tc>
          <w:tcPr>
            <w:tcW w:type="dxa" w:w="3850"/>
            <w:tcMar>
              <w:top w:type="dxa" w:w="80"/>
              <w:left w:type="dxa" w:w="100"/>
              <w:bottom w:type="dxa" w:w="80"/>
              <w:right w:type="dxa" w:w="100"/>
            </w:tcMar>
          </w:tcPr>
          <w:p>
            <w:pPr>
              <w:spacing w:after="0"/>
            </w:pPr>
            <w:r>
              <w:rPr>
                <w:color w:val="000000"/>
                <w:sz w:val="20"/>
                <w:szCs w:val="20"/>
              </w:rPr>
              <w:t xml:space="preserve">Source control, branching, CI/CD integration</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Frontend Language</w:t>
            </w:r>
          </w:p>
        </w:tc>
        <w:tc>
          <w:tcPr>
            <w:tcW w:type="dxa" w:w="2600"/>
            <w:tcMar>
              <w:top w:type="dxa" w:w="80"/>
              <w:left w:type="dxa" w:w="100"/>
              <w:bottom w:type="dxa" w:w="80"/>
              <w:right w:type="dxa" w:w="100"/>
            </w:tcMar>
          </w:tcPr>
          <w:p>
            <w:pPr>
              <w:spacing w:after="0"/>
            </w:pPr>
            <w:r>
              <w:rPr>
                <w:color w:val="000000"/>
                <w:sz w:val="20"/>
                <w:szCs w:val="20"/>
              </w:rPr>
              <w:t xml:space="preserve">Next.js (React)</w:t>
            </w:r>
          </w:p>
        </w:tc>
        <w:tc>
          <w:tcPr>
            <w:tcW w:type="dxa" w:w="3850"/>
            <w:tcMar>
              <w:top w:type="dxa" w:w="80"/>
              <w:left w:type="dxa" w:w="100"/>
              <w:bottom w:type="dxa" w:w="80"/>
              <w:right w:type="dxa" w:w="100"/>
            </w:tcMar>
          </w:tcPr>
          <w:p>
            <w:pPr>
              <w:spacing w:after="0"/>
            </w:pPr>
            <w:r>
              <w:rPr>
                <w:color w:val="000000"/>
                <w:sz w:val="20"/>
                <w:szCs w:val="20"/>
              </w:rPr>
              <w:t xml:space="preserve">Frontend framework for the EduSecure LMS application</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Backend Language</w:t>
            </w:r>
          </w:p>
        </w:tc>
        <w:tc>
          <w:tcPr>
            <w:tcW w:type="dxa" w:w="2600"/>
            <w:tcMar>
              <w:top w:type="dxa" w:w="80"/>
              <w:left w:type="dxa" w:w="100"/>
              <w:bottom w:type="dxa" w:w="80"/>
              <w:right w:type="dxa" w:w="100"/>
            </w:tcMar>
          </w:tcPr>
          <w:p>
            <w:pPr>
              <w:spacing w:after="0"/>
            </w:pPr>
            <w:r>
              <w:rPr>
                <w:color w:val="000000"/>
                <w:sz w:val="20"/>
                <w:szCs w:val="20"/>
              </w:rPr>
              <w:t xml:space="preserve">Node.js / Express</w:t>
            </w:r>
          </w:p>
        </w:tc>
        <w:tc>
          <w:tcPr>
            <w:tcW w:type="dxa" w:w="3850"/>
            <w:tcMar>
              <w:top w:type="dxa" w:w="80"/>
              <w:left w:type="dxa" w:w="100"/>
              <w:bottom w:type="dxa" w:w="80"/>
              <w:right w:type="dxa" w:w="100"/>
            </w:tcMar>
          </w:tcPr>
          <w:p>
            <w:pPr>
              <w:spacing w:after="0"/>
            </w:pPr>
            <w:r>
              <w:rPr>
                <w:color w:val="000000"/>
                <w:sz w:val="20"/>
                <w:szCs w:val="20"/>
              </w:rPr>
              <w:t xml:space="preserve">Backend runtime and API framework for the EduSecure LMS application</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r>
        <w:tc>
          <w:tcPr>
            <w:tcW w:type="dxa" w:w="1900"/>
            <w:tcMar>
              <w:top w:type="dxa" w:w="80"/>
              <w:left w:type="dxa" w:w="100"/>
              <w:bottom w:type="dxa" w:w="80"/>
              <w:right w:type="dxa" w:w="100"/>
            </w:tcMar>
          </w:tcPr>
          <w:p>
            <w:pPr>
              <w:spacing w:after="0"/>
            </w:pPr>
            <w:r>
              <w:rPr>
                <w:color w:val="000000"/>
                <w:sz w:val="20"/>
                <w:szCs w:val="20"/>
              </w:rPr>
              <w:t xml:space="preserve">Database</w:t>
            </w:r>
          </w:p>
        </w:tc>
        <w:tc>
          <w:tcPr>
            <w:tcW w:type="dxa" w:w="2600"/>
            <w:tcMar>
              <w:top w:type="dxa" w:w="80"/>
              <w:left w:type="dxa" w:w="100"/>
              <w:bottom w:type="dxa" w:w="80"/>
              <w:right w:type="dxa" w:w="100"/>
            </w:tcMar>
          </w:tcPr>
          <w:p>
            <w:pPr>
              <w:spacing w:after="0"/>
            </w:pPr>
            <w:r>
              <w:rPr>
                <w:color w:val="000000"/>
                <w:sz w:val="20"/>
                <w:szCs w:val="20"/>
              </w:rPr>
              <w:t xml:space="preserve">MySQL</w:t>
            </w:r>
          </w:p>
        </w:tc>
        <w:tc>
          <w:tcPr>
            <w:tcW w:type="dxa" w:w="3850"/>
            <w:tcMar>
              <w:top w:type="dxa" w:w="80"/>
              <w:left w:type="dxa" w:w="100"/>
              <w:bottom w:type="dxa" w:w="80"/>
              <w:right w:type="dxa" w:w="100"/>
            </w:tcMar>
          </w:tcPr>
          <w:p>
            <w:pPr>
              <w:spacing w:after="0"/>
            </w:pPr>
            <w:r>
              <w:rPr>
                <w:color w:val="000000"/>
                <w:sz w:val="20"/>
                <w:szCs w:val="20"/>
              </w:rPr>
              <w:t xml:space="preserve">Relational database for application and course data</w:t>
            </w:r>
          </w:p>
        </w:tc>
        <w:tc>
          <w:tcPr>
            <w:tcW w:type="dxa" w:w="1000"/>
            <w:tcMar>
              <w:top w:type="dxa" w:w="80"/>
              <w:left w:type="dxa" w:w="100"/>
              <w:bottom w:type="dxa" w:w="80"/>
              <w:right w:type="dxa" w:w="100"/>
            </w:tcMar>
          </w:tcPr>
          <w:p>
            <w:pPr>
              <w:spacing w:after="0"/>
            </w:pPr>
            <w:r>
              <w:rPr>
                <w:color w:val="000000"/>
                <w:sz w:val="20"/>
                <w:szCs w:val="20"/>
              </w:rPr>
              <w:t xml:space="preserve">Implemented</w:t>
            </w:r>
          </w:p>
        </w:tc>
      </w:tr>
    </w:tbl>
    <w:p>
      <w:pPr>
        <w:spacing w:after="200"/>
      </w:pPr>
    </w:p>
    <w:p>
      <w:pPr>
        <w:pStyle w:val="Heading1"/>
        <w:spacing w:after="150" w:before="300"/>
      </w:pPr>
      <w:r>
        <w:t xml:space="preserve">4. Security Tools — End-to-End, Step by Step</w:t>
      </w:r>
    </w:p>
    <w:p>
      <w:pPr>
        <w:spacing w:after="160"/>
        <w:jc w:val="both"/>
      </w:pPr>
      <w:r>
        <w:t xml:space="preserve">The tools below are sequenced in the exact order they act across the software delivery lifecycle — from the moment a feature is planned to the moment it is running in production. This "shift-left" ordering is deliberate: each step is designed to catch a class of issue at the earliest, cheapest point possible, so that fewer vulnerabilities remain by the time code reaches the next step.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5600"/>
      </w:tblGrid>
      <w:tr>
        <w:trPr>
          <w:tblHeader/>
        </w:trPr>
        <w:tc>
          <w:tcPr>
            <w:tcW w:type="dxa" w:w="2100"/>
            <w:shd w:fill="1F3864" w:val="clear"/>
            <w:tcMar>
              <w:top w:type="dxa" w:w="80"/>
              <w:left w:type="dxa" w:w="100"/>
              <w:bottom w:type="dxa" w:w="80"/>
              <w:right w:type="dxa" w:w="100"/>
            </w:tcMar>
          </w:tcPr>
          <w:p>
            <w:pPr>
              <w:spacing w:after="0"/>
            </w:pPr>
            <w:r>
              <w:rPr>
                <w:b/>
                <w:bCs/>
                <w:color w:val="FFFFFF"/>
                <w:sz w:val="20"/>
                <w:szCs w:val="20"/>
              </w:rPr>
              <w:t xml:space="preserve">SDLC Step</w:t>
            </w:r>
          </w:p>
        </w:tc>
        <w:tc>
          <w:tcPr>
            <w:tcW w:type="dxa" w:w="1650"/>
            <w:shd w:fill="1F3864" w:val="clear"/>
            <w:tcMar>
              <w:top w:type="dxa" w:w="80"/>
              <w:left w:type="dxa" w:w="100"/>
              <w:bottom w:type="dxa" w:w="80"/>
              <w:right w:type="dxa" w:w="100"/>
            </w:tcMar>
          </w:tcPr>
          <w:p>
            <w:pPr>
              <w:spacing w:after="0"/>
            </w:pPr>
            <w:r>
              <w:rPr>
                <w:b/>
                <w:bCs/>
                <w:color w:val="FFFFFF"/>
                <w:sz w:val="20"/>
                <w:szCs w:val="20"/>
              </w:rPr>
              <w:t xml:space="preserve">Tool / Status</w:t>
            </w:r>
          </w:p>
        </w:tc>
        <w:tc>
          <w:tcPr>
            <w:tcW w:type="dxa" w:w="5600"/>
            <w:shd w:fill="1F3864" w:val="clear"/>
            <w:tcMar>
              <w:top w:type="dxa" w:w="80"/>
              <w:left w:type="dxa" w:w="100"/>
              <w:bottom w:type="dxa" w:w="80"/>
              <w:right w:type="dxa" w:w="100"/>
            </w:tcMar>
          </w:tcPr>
          <w:p>
            <w:pPr>
              <w:spacing w:after="0"/>
            </w:pPr>
            <w:r>
              <w:rPr>
                <w:b/>
                <w:bCs/>
                <w:color w:val="FFFFFF"/>
                <w:sz w:val="20"/>
                <w:szCs w:val="20"/>
              </w:rPr>
              <w:t xml:space="preserve">What It Does</w:t>
            </w:r>
          </w:p>
        </w:tc>
      </w:tr>
      <w:tr>
        <w:tc>
          <w:tcPr>
            <w:tcW w:type="dxa" w:w="2100"/>
            <w:tcMar>
              <w:top w:type="dxa" w:w="80"/>
              <w:left w:type="dxa" w:w="100"/>
              <w:bottom w:type="dxa" w:w="80"/>
              <w:right w:type="dxa" w:w="100"/>
            </w:tcMar>
          </w:tcPr>
          <w:p>
            <w:pPr>
              <w:spacing w:after="0"/>
            </w:pPr>
            <w:r>
              <w:rPr>
                <w:b/>
                <w:bCs/>
                <w:color w:val="000000"/>
                <w:sz w:val="20"/>
                <w:szCs w:val="20"/>
              </w:rPr>
              <w:t xml:space="preserve">STEP 1 — Plan &amp; Threat Model</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OWASP Threat Dragon</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Before any code is written, the application's data flow is modeled and analyzed using STRIDE (Spoofing, Tampering, Repudiation, Information Disclosure, Denial of Service, Elevation of Privilege). Applied to the Moodle LMS login flow to identify design-level risks before implementation.</w:t>
            </w:r>
          </w:p>
        </w:tc>
      </w:tr>
      <w:tr>
        <w:tc>
          <w:tcPr>
            <w:tcW w:type="dxa" w:w="2100"/>
            <w:tcMar>
              <w:top w:type="dxa" w:w="80"/>
              <w:left w:type="dxa" w:w="100"/>
              <w:bottom w:type="dxa" w:w="80"/>
              <w:right w:type="dxa" w:w="100"/>
            </w:tcMar>
          </w:tcPr>
          <w:p>
            <w:pPr>
              <w:spacing w:after="0"/>
            </w:pPr>
            <w:r>
              <w:rPr>
                <w:b/>
                <w:bCs/>
                <w:color w:val="000000"/>
                <w:sz w:val="20"/>
                <w:szCs w:val="20"/>
              </w:rPr>
              <w:t xml:space="preserve">STEP 2 — Track Work</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Jira</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Threats and remediation tasks identified in Step 1 are logged as trackable work items. A full Scrum project was run end-to-end (sprint lifecycle, CI/CD-to-Jira integration via Smart Commits) so every security finding has an auditable owner and status.</w:t>
            </w:r>
          </w:p>
        </w:tc>
      </w:tr>
      <w:tr>
        <w:tc>
          <w:tcPr>
            <w:tcW w:type="dxa" w:w="2100"/>
            <w:tcMar>
              <w:top w:type="dxa" w:w="80"/>
              <w:left w:type="dxa" w:w="100"/>
              <w:bottom w:type="dxa" w:w="80"/>
              <w:right w:type="dxa" w:w="100"/>
            </w:tcMar>
          </w:tcPr>
          <w:p>
            <w:pPr>
              <w:spacing w:after="0"/>
            </w:pPr>
            <w:r>
              <w:rPr>
                <w:b/>
                <w:bCs/>
                <w:color w:val="000000"/>
                <w:sz w:val="20"/>
                <w:szCs w:val="20"/>
              </w:rPr>
              <w:t xml:space="preserve">STEP 3 — Secure Coding (IDE)</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SonarLint</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As code is written, SonarLint flags code-quality and security issues directly in the editor, before the code is ever committed — the earliest and cheapest point to fix an issue.</w:t>
            </w:r>
          </w:p>
        </w:tc>
      </w:tr>
      <w:tr>
        <w:tc>
          <w:tcPr>
            <w:tcW w:type="dxa" w:w="2100"/>
            <w:tcMar>
              <w:top w:type="dxa" w:w="80"/>
              <w:left w:type="dxa" w:w="100"/>
              <w:bottom w:type="dxa" w:w="80"/>
              <w:right w:type="dxa" w:w="100"/>
            </w:tcMar>
          </w:tcPr>
          <w:p>
            <w:pPr>
              <w:spacing w:after="0"/>
            </w:pPr>
            <w:r>
              <w:rPr>
                <w:b/>
                <w:bCs/>
                <w:color w:val="000000"/>
                <w:sz w:val="20"/>
                <w:szCs w:val="20"/>
              </w:rPr>
              <w:t xml:space="preserve">STEP 4 — Pre-Commit Secrets Check</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GitLeaks</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Before code is pushed, GitLeaks scans for hardcoded secrets and credentials. A .gitleaksignore was configured to manage accepted exceptions, preventing credential leaks from ever reaching source control.</w:t>
            </w:r>
          </w:p>
        </w:tc>
      </w:tr>
      <w:tr>
        <w:tc>
          <w:tcPr>
            <w:tcW w:type="dxa" w:w="2100"/>
            <w:tcMar>
              <w:top w:type="dxa" w:w="80"/>
              <w:left w:type="dxa" w:w="100"/>
              <w:bottom w:type="dxa" w:w="80"/>
              <w:right w:type="dxa" w:w="100"/>
            </w:tcMar>
          </w:tcPr>
          <w:p>
            <w:pPr>
              <w:spacing w:after="0"/>
            </w:pPr>
            <w:r>
              <w:rPr>
                <w:b/>
                <w:bCs/>
                <w:color w:val="000000"/>
                <w:sz w:val="20"/>
                <w:szCs w:val="20"/>
              </w:rPr>
              <w:t xml:space="preserve">STEP 5 — Dependency Scanning</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Snyk</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Project dependencies are scanned for known CVEs as part of the development workflow, catching vulnerable third-party libraries before they are built into an artifact.</w:t>
            </w:r>
          </w:p>
        </w:tc>
      </w:tr>
      <w:tr>
        <w:tc>
          <w:tcPr>
            <w:tcW w:type="dxa" w:w="2100"/>
            <w:tcMar>
              <w:top w:type="dxa" w:w="80"/>
              <w:left w:type="dxa" w:w="100"/>
              <w:bottom w:type="dxa" w:w="80"/>
              <w:right w:type="dxa" w:w="100"/>
            </w:tcMar>
          </w:tcPr>
          <w:p>
            <w:pPr>
              <w:spacing w:after="0"/>
            </w:pPr>
            <w:r>
              <w:rPr>
                <w:b/>
                <w:bCs/>
                <w:color w:val="000000"/>
                <w:sz w:val="20"/>
                <w:szCs w:val="20"/>
              </w:rPr>
              <w:t xml:space="preserve">STEP 6 — Static Application Analysis</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SonarQube</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On commit, a centralized SonarQube instance (Docker-deployed, token-based auth) runs a deeper static analysis with quality gates, blocking merges that introduce serious code-quality or security defects.</w:t>
            </w:r>
          </w:p>
        </w:tc>
      </w:tr>
      <w:tr>
        <w:tc>
          <w:tcPr>
            <w:tcW w:type="dxa" w:w="2100"/>
            <w:tcMar>
              <w:top w:type="dxa" w:w="80"/>
              <w:left w:type="dxa" w:w="100"/>
              <w:bottom w:type="dxa" w:w="80"/>
              <w:right w:type="dxa" w:w="100"/>
            </w:tcMar>
          </w:tcPr>
          <w:p>
            <w:pPr>
              <w:spacing w:after="0"/>
            </w:pPr>
            <w:r>
              <w:rPr>
                <w:b/>
                <w:bCs/>
                <w:color w:val="000000"/>
                <w:sz w:val="20"/>
                <w:szCs w:val="20"/>
              </w:rPr>
              <w:t xml:space="preserve">STEP 7 — Secrets Management</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HashiCorp Vault</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Application and infrastructure secrets are moved out of config files and environment variables into Vault, with RBAC policies and TTL-bound tokens, so no long-lived credential sits in plaintext anywhere in the pipeline.</w:t>
            </w:r>
          </w:p>
        </w:tc>
      </w:tr>
      <w:tr>
        <w:tc>
          <w:tcPr>
            <w:tcW w:type="dxa" w:w="2100"/>
            <w:tcMar>
              <w:top w:type="dxa" w:w="80"/>
              <w:left w:type="dxa" w:w="100"/>
              <w:bottom w:type="dxa" w:w="80"/>
              <w:right w:type="dxa" w:w="100"/>
            </w:tcMar>
          </w:tcPr>
          <w:p>
            <w:pPr>
              <w:spacing w:after="0"/>
            </w:pPr>
            <w:r>
              <w:rPr>
                <w:b/>
                <w:bCs/>
                <w:color w:val="000000"/>
                <w:sz w:val="20"/>
                <w:szCs w:val="20"/>
              </w:rPr>
              <w:t xml:space="preserve">STEP 8 — Infrastructure-as-Code Scanning</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Checkov</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Terraform configurations are scanned before any apply, catching misconfigurations (open security groups, unencrypted storage, over-permissive IAM, etc.) at the infrastructure-definition stage, before a single resource is provisioned.</w:t>
            </w:r>
          </w:p>
        </w:tc>
      </w:tr>
      <w:tr>
        <w:tc>
          <w:tcPr>
            <w:tcW w:type="dxa" w:w="2100"/>
            <w:tcMar>
              <w:top w:type="dxa" w:w="80"/>
              <w:left w:type="dxa" w:w="100"/>
              <w:bottom w:type="dxa" w:w="80"/>
              <w:right w:type="dxa" w:w="100"/>
            </w:tcMar>
          </w:tcPr>
          <w:p>
            <w:pPr>
              <w:spacing w:after="0"/>
            </w:pPr>
            <w:r>
              <w:rPr>
                <w:b/>
                <w:bCs/>
                <w:color w:val="000000"/>
                <w:sz w:val="20"/>
                <w:szCs w:val="20"/>
              </w:rPr>
              <w:t xml:space="preserve">STEP 9 — Container Image Scanning</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Trivy</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Every Docker image is scanned for OS and library vulnerabilities as part of the build step. In a recent exercise, this process reduced a production-style image from 56 findings to 0 by iteratively hardening the base image and dependencies.</w:t>
            </w:r>
          </w:p>
        </w:tc>
      </w:tr>
      <w:tr>
        <w:tc>
          <w:tcPr>
            <w:tcW w:type="dxa" w:w="2100"/>
            <w:tcMar>
              <w:top w:type="dxa" w:w="80"/>
              <w:left w:type="dxa" w:w="100"/>
              <w:bottom w:type="dxa" w:w="80"/>
              <w:right w:type="dxa" w:w="100"/>
            </w:tcMar>
          </w:tcPr>
          <w:p>
            <w:pPr>
              <w:spacing w:after="0"/>
            </w:pPr>
            <w:r>
              <w:rPr>
                <w:b/>
                <w:bCs/>
                <w:color w:val="000000"/>
                <w:sz w:val="20"/>
                <w:szCs w:val="20"/>
              </w:rPr>
              <w:t xml:space="preserve">STEP 10 — Software Bill of Materials</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Syft + Grype</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Syft generates a complete inventory (SBOM) of every package inside a built image; Grype scans that SBOM for vulnerabilities. This gives full supply-chain traceability — we always know exactly what is running in production.</w:t>
            </w:r>
          </w:p>
        </w:tc>
      </w:tr>
      <w:tr>
        <w:tc>
          <w:tcPr>
            <w:tcW w:type="dxa" w:w="2100"/>
            <w:tcMar>
              <w:top w:type="dxa" w:w="80"/>
              <w:left w:type="dxa" w:w="100"/>
              <w:bottom w:type="dxa" w:w="80"/>
              <w:right w:type="dxa" w:w="100"/>
            </w:tcMar>
          </w:tcPr>
          <w:p>
            <w:pPr>
              <w:spacing w:after="0"/>
            </w:pPr>
            <w:r>
              <w:rPr>
                <w:b/>
                <w:bCs/>
                <w:color w:val="000000"/>
                <w:sz w:val="20"/>
                <w:szCs w:val="20"/>
              </w:rPr>
              <w:t xml:space="preserve">STEP 11 — Runtime Threat Detection</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Falco</w:t>
            </w:r>
          </w:p>
          <w:p>
            <w:pPr>
              <w:spacing w:after="0"/>
            </w:pPr>
            <w:r>
              <w:rPr>
                <w:b w:val="false"/>
                <w:bCs w:val="false"/>
                <w:i/>
                <w:iCs/>
                <w:color w:val="000000"/>
                <w:sz w:val="20"/>
                <w:szCs w:val="20"/>
              </w:rPr>
              <w:t xml:space="preserve">(In Progress)</w:t>
            </w:r>
          </w:p>
        </w:tc>
        <w:tc>
          <w:tcPr>
            <w:tcW w:type="dxa" w:w="5600"/>
            <w:tcMar>
              <w:top w:type="dxa" w:w="80"/>
              <w:left w:type="dxa" w:w="100"/>
              <w:bottom w:type="dxa" w:w="80"/>
              <w:right w:type="dxa" w:w="100"/>
            </w:tcMar>
          </w:tcPr>
          <w:p>
            <w:pPr>
              <w:spacing w:after="0"/>
            </w:pPr>
            <w:r>
              <w:rPr>
                <w:color w:val="000000"/>
                <w:sz w:val="20"/>
                <w:szCs w:val="20"/>
              </w:rPr>
              <w:t xml:space="preserve">Once a container is running, Falco monitors host and container syscalls in real time for anomalous behavior (unexpected process execution, privilege escalation attempts, unauthorized file access) — catching threats that only appear after deployment.</w:t>
            </w:r>
          </w:p>
        </w:tc>
      </w:tr>
      <w:tr>
        <w:tc>
          <w:tcPr>
            <w:tcW w:type="dxa" w:w="2100"/>
            <w:tcMar>
              <w:top w:type="dxa" w:w="80"/>
              <w:left w:type="dxa" w:w="100"/>
              <w:bottom w:type="dxa" w:w="80"/>
              <w:right w:type="dxa" w:w="100"/>
            </w:tcMar>
          </w:tcPr>
          <w:p>
            <w:pPr>
              <w:spacing w:after="0"/>
            </w:pPr>
            <w:r>
              <w:rPr>
                <w:b/>
                <w:bCs/>
                <w:color w:val="000000"/>
                <w:sz w:val="20"/>
                <w:szCs w:val="20"/>
              </w:rPr>
              <w:t xml:space="preserve">STEP 12 — Dynamic Application Testing</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OWASP ZAP</w:t>
            </w:r>
          </w:p>
          <w:p>
            <w:pPr>
              <w:spacing w:after="0"/>
            </w:pPr>
            <w:r>
              <w:rPr>
                <w:b w:val="false"/>
                <w:bCs w:val="false"/>
                <w:i/>
                <w:iCs/>
                <w:color w:val="000000"/>
                <w:sz w:val="20"/>
                <w:szCs w:val="20"/>
              </w:rPr>
              <w:t xml:space="preserve">(Implemented)</w:t>
            </w:r>
          </w:p>
        </w:tc>
        <w:tc>
          <w:tcPr>
            <w:tcW w:type="dxa" w:w="5600"/>
            <w:tcMar>
              <w:top w:type="dxa" w:w="80"/>
              <w:left w:type="dxa" w:w="100"/>
              <w:bottom w:type="dxa" w:w="80"/>
              <w:right w:type="dxa" w:w="100"/>
            </w:tcMar>
          </w:tcPr>
          <w:p>
            <w:pPr>
              <w:spacing w:after="0"/>
            </w:pPr>
            <w:r>
              <w:rPr>
                <w:color w:val="000000"/>
                <w:sz w:val="20"/>
                <w:szCs w:val="20"/>
              </w:rPr>
              <w:t xml:space="preserve">Once deployed to staging, the running application itself is scanned (DAST) for exploitable vulnerabilities that only surface at runtime — such as those tested against Juice Shop, with full HTML/PDF findings reports.</w:t>
            </w:r>
          </w:p>
        </w:tc>
      </w:tr>
      <w:tr>
        <w:tc>
          <w:tcPr>
            <w:tcW w:type="dxa" w:w="2100"/>
            <w:tcMar>
              <w:top w:type="dxa" w:w="80"/>
              <w:left w:type="dxa" w:w="100"/>
              <w:bottom w:type="dxa" w:w="80"/>
              <w:right w:type="dxa" w:w="100"/>
            </w:tcMar>
          </w:tcPr>
          <w:p>
            <w:pPr>
              <w:spacing w:after="0"/>
            </w:pPr>
            <w:r>
              <w:rPr>
                <w:b/>
                <w:bCs/>
                <w:color w:val="000000"/>
                <w:sz w:val="20"/>
                <w:szCs w:val="20"/>
              </w:rPr>
              <w:t xml:space="preserve">STEP 13 — Security Observability</w:t>
            </w:r>
          </w:p>
        </w:tc>
        <w:tc>
          <w:tcPr>
            <w:tcW w:type="dxa" w:w="1650"/>
            <w:tcMar>
              <w:top w:type="dxa" w:w="80"/>
              <w:left w:type="dxa" w:w="100"/>
              <w:bottom w:type="dxa" w:w="80"/>
              <w:right w:type="dxa" w:w="100"/>
            </w:tcMar>
          </w:tcPr>
          <w:p>
            <w:pPr>
              <w:spacing w:after="20"/>
            </w:pPr>
            <w:r>
              <w:rPr>
                <w:b/>
                <w:bCs/>
                <w:i w:val="false"/>
                <w:iCs w:val="false"/>
                <w:color w:val="000000"/>
                <w:sz w:val="20"/>
                <w:szCs w:val="20"/>
              </w:rPr>
              <w:t xml:space="preserve">ELK Stack + Grafana</w:t>
            </w:r>
          </w:p>
          <w:p>
            <w:pPr>
              <w:spacing w:after="0"/>
            </w:pPr>
            <w:r>
              <w:rPr>
                <w:b w:val="false"/>
                <w:bCs w:val="false"/>
                <w:i/>
                <w:iCs/>
                <w:color w:val="000000"/>
                <w:sz w:val="20"/>
                <w:szCs w:val="20"/>
              </w:rPr>
              <w:t xml:space="preserve">(Planned)</w:t>
            </w:r>
          </w:p>
        </w:tc>
        <w:tc>
          <w:tcPr>
            <w:tcW w:type="dxa" w:w="5600"/>
            <w:tcMar>
              <w:top w:type="dxa" w:w="80"/>
              <w:left w:type="dxa" w:w="100"/>
              <w:bottom w:type="dxa" w:w="80"/>
              <w:right w:type="dxa" w:w="100"/>
            </w:tcMar>
          </w:tcPr>
          <w:p>
            <w:pPr>
              <w:spacing w:after="0"/>
            </w:pPr>
            <w:r>
              <w:rPr>
                <w:color w:val="000000"/>
                <w:sz w:val="20"/>
                <w:szCs w:val="20"/>
              </w:rPr>
              <w:t xml:space="preserve">Logs from every stage above (auth attempts, blocked IPs, policy violations, scan results) are centralized for correlation and long-term visibility, complementing the existing Prometheus/Grafana infrastructure metrics.</w:t>
            </w:r>
          </w:p>
        </w:tc>
      </w:tr>
    </w:tbl>
    <w:p>
      <w:pPr>
        <w:spacing w:after="200"/>
      </w:pPr>
    </w:p>
    <w:p>
      <w:pPr>
        <w:pStyle w:val="Heading1"/>
        <w:spacing w:after="150" w:before="300"/>
      </w:pPr>
      <w:r>
        <w:t xml:space="preserve">5. EduSecure LMS — Application Feature Scope</w:t>
      </w:r>
    </w:p>
    <w:p>
      <w:pPr>
        <w:spacing w:after="160"/>
        <w:jc w:val="both"/>
      </w:pPr>
      <w:r>
        <w:t xml:space="preserve">In parallel with the tooling above, a custom LMS ("EduSecure LMS") is being designed as the reference application against which this end-to-end DevSecOps pipeline will be exercised — built on Next.js (frontend), Node.js/Express (backend), and MySQL (database). A STRIDE threat model for this application has already been completed (see attached Threat Dragon model) and is directly shaping the feature design below. Development has not yet started; the following features are at the design stage, sequenced for the Docker → CI/CD rollout described in Section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5450"/>
        <w:gridCol w:w="1500"/>
      </w:tblGrid>
      <w:tr>
        <w:trPr>
          <w:tblHeader/>
        </w:trPr>
        <w:tc>
          <w:tcPr>
            <w:tcW w:type="dxa" w:w="2400"/>
            <w:shd w:fill="1F3864" w:val="clear"/>
            <w:tcMar>
              <w:top w:type="dxa" w:w="80"/>
              <w:left w:type="dxa" w:w="100"/>
              <w:bottom w:type="dxa" w:w="80"/>
              <w:right w:type="dxa" w:w="100"/>
            </w:tcMar>
          </w:tcPr>
          <w:p>
            <w:pPr>
              <w:spacing w:after="0"/>
            </w:pPr>
            <w:r>
              <w:rPr>
                <w:b/>
                <w:bCs/>
                <w:color w:val="FFFFFF"/>
                <w:sz w:val="20"/>
                <w:szCs w:val="20"/>
              </w:rPr>
              <w:t xml:space="preserve">Feature</w:t>
            </w:r>
          </w:p>
        </w:tc>
        <w:tc>
          <w:tcPr>
            <w:tcW w:type="dxa" w:w="5450"/>
            <w:shd w:fill="1F3864" w:val="clear"/>
            <w:tcMar>
              <w:top w:type="dxa" w:w="80"/>
              <w:left w:type="dxa" w:w="100"/>
              <w:bottom w:type="dxa" w:w="80"/>
              <w:right w:type="dxa" w:w="100"/>
            </w:tcMar>
          </w:tcPr>
          <w:p>
            <w:pPr>
              <w:spacing w:after="0"/>
            </w:pPr>
            <w:r>
              <w:rPr>
                <w:b/>
                <w:bCs/>
                <w:color w:val="FFFFFF"/>
                <w:sz w:val="20"/>
                <w:szCs w:val="20"/>
              </w:rPr>
              <w:t xml:space="preserve">Description</w:t>
            </w:r>
          </w:p>
        </w:tc>
        <w:tc>
          <w:tcPr>
            <w:tcW w:type="dxa" w:w="1500"/>
            <w:shd w:fill="1F3864" w:val="clear"/>
            <w:tcMar>
              <w:top w:type="dxa" w:w="80"/>
              <w:left w:type="dxa" w:w="100"/>
              <w:bottom w:type="dxa" w:w="80"/>
              <w:right w:type="dxa" w:w="100"/>
            </w:tcMar>
          </w:tcPr>
          <w:p>
            <w:pPr>
              <w:spacing w:after="0"/>
            </w:pPr>
            <w:r>
              <w:rPr>
                <w:b/>
                <w:bCs/>
                <w:color w:val="FFFFFF"/>
                <w:sz w:val="20"/>
                <w:szCs w:val="20"/>
              </w:rPr>
              <w:t xml:space="preserve">Status</w:t>
            </w:r>
          </w:p>
        </w:tc>
      </w:tr>
      <w:tr>
        <w:tc>
          <w:tcPr>
            <w:tcW w:type="dxa" w:w="2400"/>
            <w:tcMar>
              <w:top w:type="dxa" w:w="80"/>
              <w:left w:type="dxa" w:w="100"/>
              <w:bottom w:type="dxa" w:w="80"/>
              <w:right w:type="dxa" w:w="100"/>
            </w:tcMar>
          </w:tcPr>
          <w:p>
            <w:pPr>
              <w:spacing w:after="0"/>
            </w:pPr>
            <w:r>
              <w:rPr>
                <w:b/>
                <w:bCs/>
                <w:color w:val="000000"/>
                <w:sz w:val="20"/>
                <w:szCs w:val="20"/>
              </w:rPr>
              <w:t xml:space="preserve">Authentication &amp; Roles</w:t>
            </w:r>
          </w:p>
        </w:tc>
        <w:tc>
          <w:tcPr>
            <w:tcW w:type="dxa" w:w="5450"/>
            <w:tcMar>
              <w:top w:type="dxa" w:w="80"/>
              <w:left w:type="dxa" w:w="100"/>
              <w:bottom w:type="dxa" w:w="80"/>
              <w:right w:type="dxa" w:w="100"/>
            </w:tcMar>
          </w:tcPr>
          <w:p>
            <w:pPr>
              <w:spacing w:after="0"/>
            </w:pPr>
            <w:r>
              <w:rPr>
                <w:color w:val="000000"/>
                <w:sz w:val="20"/>
                <w:szCs w:val="20"/>
              </w:rPr>
              <w:t xml:space="preserve">Register/login with JWT-based auth; three roles — Student, Instructor, Admin — each with distinct permissions enforced server-side.</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Course Management</w:t>
            </w:r>
          </w:p>
        </w:tc>
        <w:tc>
          <w:tcPr>
            <w:tcW w:type="dxa" w:w="5450"/>
            <w:tcMar>
              <w:top w:type="dxa" w:w="80"/>
              <w:left w:type="dxa" w:w="100"/>
              <w:bottom w:type="dxa" w:w="80"/>
              <w:right w:type="dxa" w:w="100"/>
            </w:tcMar>
          </w:tcPr>
          <w:p>
            <w:pPr>
              <w:spacing w:after="0"/>
            </w:pPr>
            <w:r>
              <w:rPr>
                <w:color w:val="000000"/>
                <w:sz w:val="20"/>
                <w:szCs w:val="20"/>
              </w:rPr>
              <w:t xml:space="preserve">Instructors create courses, organize them into modules and lessons.</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Enrollment</w:t>
            </w:r>
          </w:p>
        </w:tc>
        <w:tc>
          <w:tcPr>
            <w:tcW w:type="dxa" w:w="5450"/>
            <w:tcMar>
              <w:top w:type="dxa" w:w="80"/>
              <w:left w:type="dxa" w:w="100"/>
              <w:bottom w:type="dxa" w:w="80"/>
              <w:right w:type="dxa" w:w="100"/>
            </w:tcMar>
          </w:tcPr>
          <w:p>
            <w:pPr>
              <w:spacing w:after="0"/>
            </w:pPr>
            <w:r>
              <w:rPr>
                <w:color w:val="000000"/>
                <w:sz w:val="20"/>
                <w:szCs w:val="20"/>
              </w:rPr>
              <w:t xml:space="preserve">Students browse available courses and enroll; enrollment records tracked per student.</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Content Delivery</w:t>
            </w:r>
          </w:p>
        </w:tc>
        <w:tc>
          <w:tcPr>
            <w:tcW w:type="dxa" w:w="5450"/>
            <w:tcMar>
              <w:top w:type="dxa" w:w="80"/>
              <w:left w:type="dxa" w:w="100"/>
              <w:bottom w:type="dxa" w:w="80"/>
              <w:right w:type="dxa" w:w="100"/>
            </w:tcMar>
          </w:tcPr>
          <w:p>
            <w:pPr>
              <w:spacing w:after="0"/>
            </w:pPr>
            <w:r>
              <w:rPr>
                <w:color w:val="000000"/>
                <w:sz w:val="20"/>
                <w:szCs w:val="20"/>
              </w:rPr>
              <w:t xml:space="preserve">Upload and view lesson materials (PDF/video), stored with strict file-type/size validation.</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Quiz Module</w:t>
            </w:r>
          </w:p>
        </w:tc>
        <w:tc>
          <w:tcPr>
            <w:tcW w:type="dxa" w:w="5450"/>
            <w:tcMar>
              <w:top w:type="dxa" w:w="80"/>
              <w:left w:type="dxa" w:w="100"/>
              <w:bottom w:type="dxa" w:w="80"/>
              <w:right w:type="dxa" w:w="100"/>
            </w:tcMar>
          </w:tcPr>
          <w:p>
            <w:pPr>
              <w:spacing w:after="0"/>
            </w:pPr>
            <w:r>
              <w:rPr>
                <w:color w:val="000000"/>
                <w:sz w:val="20"/>
                <w:szCs w:val="20"/>
              </w:rPr>
              <w:t xml:space="preserve">MCQ-based quizzes with server-side grading only — correct answers never sent to the client, closing a key tampering risk identified in the threat model.</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Admin Dashboard</w:t>
            </w:r>
          </w:p>
        </w:tc>
        <w:tc>
          <w:tcPr>
            <w:tcW w:type="dxa" w:w="5450"/>
            <w:tcMar>
              <w:top w:type="dxa" w:w="80"/>
              <w:left w:type="dxa" w:w="100"/>
              <w:bottom w:type="dxa" w:w="80"/>
              <w:right w:type="dxa" w:w="100"/>
            </w:tcMar>
          </w:tcPr>
          <w:p>
            <w:pPr>
              <w:spacing w:after="0"/>
            </w:pPr>
            <w:r>
              <w:rPr>
                <w:color w:val="000000"/>
                <w:sz w:val="20"/>
                <w:szCs w:val="20"/>
              </w:rPr>
              <w:t xml:space="preserve">User management and course approval workflow for Admin role.</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Audit Logging</w:t>
            </w:r>
          </w:p>
        </w:tc>
        <w:tc>
          <w:tcPr>
            <w:tcW w:type="dxa" w:w="5450"/>
            <w:tcMar>
              <w:top w:type="dxa" w:w="80"/>
              <w:left w:type="dxa" w:w="100"/>
              <w:bottom w:type="dxa" w:w="80"/>
              <w:right w:type="dxa" w:w="100"/>
            </w:tcMar>
          </w:tcPr>
          <w:p>
            <w:pPr>
              <w:spacing w:after="0"/>
            </w:pPr>
            <w:r>
              <w:rPr>
                <w:color w:val="000000"/>
                <w:sz w:val="20"/>
                <w:szCs w:val="20"/>
              </w:rPr>
              <w:t xml:space="preserve">Every grade change, enrollment, and course deletion recorded with actor, action, and timestamp.</w:t>
            </w:r>
          </w:p>
        </w:tc>
        <w:tc>
          <w:tcPr>
            <w:tcW w:type="dxa" w:w="1500"/>
            <w:tcMar>
              <w:top w:type="dxa" w:w="80"/>
              <w:left w:type="dxa" w:w="100"/>
              <w:bottom w:type="dxa" w:w="80"/>
              <w:right w:type="dxa" w:w="100"/>
            </w:tcMar>
          </w:tcPr>
          <w:p>
            <w:pPr>
              <w:spacing w:after="0"/>
            </w:pPr>
            <w:r>
              <w:rPr>
                <w:color w:val="000000"/>
                <w:sz w:val="20"/>
                <w:szCs w:val="20"/>
              </w:rPr>
              <w:t xml:space="preserve">Planned</w:t>
            </w:r>
          </w:p>
        </w:tc>
      </w:tr>
      <w:tr>
        <w:tc>
          <w:tcPr>
            <w:tcW w:type="dxa" w:w="2400"/>
            <w:tcMar>
              <w:top w:type="dxa" w:w="80"/>
              <w:left w:type="dxa" w:w="100"/>
              <w:bottom w:type="dxa" w:w="80"/>
              <w:right w:type="dxa" w:w="100"/>
            </w:tcMar>
          </w:tcPr>
          <w:p>
            <w:pPr>
              <w:spacing w:after="0"/>
            </w:pPr>
            <w:r>
              <w:rPr>
                <w:b/>
                <w:bCs/>
                <w:color w:val="000000"/>
                <w:sz w:val="20"/>
                <w:szCs w:val="20"/>
              </w:rPr>
              <w:t xml:space="preserve">Backend project scaffold</w:t>
            </w:r>
          </w:p>
        </w:tc>
        <w:tc>
          <w:tcPr>
            <w:tcW w:type="dxa" w:w="5450"/>
            <w:tcMar>
              <w:top w:type="dxa" w:w="80"/>
              <w:left w:type="dxa" w:w="100"/>
              <w:bottom w:type="dxa" w:w="80"/>
              <w:right w:type="dxa" w:w="100"/>
            </w:tcMar>
          </w:tcPr>
          <w:p>
            <w:pPr>
              <w:spacing w:after="0"/>
            </w:pPr>
            <w:r>
              <w:rPr>
                <w:color w:val="000000"/>
                <w:sz w:val="20"/>
                <w:szCs w:val="20"/>
              </w:rPr>
              <w:t xml:space="preserve">Node.js/Express project structure and dependency set initialized (Express, mysql2, bcryptjs, JWT, Helmet, express-validator, Multer).</w:t>
            </w:r>
          </w:p>
        </w:tc>
        <w:tc>
          <w:tcPr>
            <w:tcW w:type="dxa" w:w="1500"/>
            <w:tcMar>
              <w:top w:type="dxa" w:w="80"/>
              <w:left w:type="dxa" w:w="100"/>
              <w:bottom w:type="dxa" w:w="80"/>
              <w:right w:type="dxa" w:w="100"/>
            </w:tcMar>
          </w:tcPr>
          <w:p>
            <w:pPr>
              <w:spacing w:after="0"/>
            </w:pPr>
            <w:r>
              <w:rPr>
                <w:color w:val="000000"/>
                <w:sz w:val="20"/>
                <w:szCs w:val="20"/>
              </w:rPr>
              <w:t xml:space="preserve">In Progress</w:t>
            </w:r>
          </w:p>
        </w:tc>
      </w:tr>
    </w:tbl>
    <w:p>
      <w:pPr>
        <w:spacing w:after="200"/>
      </w:pPr>
    </w:p>
    <w:p>
      <w:pPr>
        <w:pStyle w:val="Heading1"/>
        <w:spacing w:after="150" w:before="300"/>
      </w:pPr>
      <w:r>
        <w:t xml:space="preserve">6. Implementation Plan</w:t>
      </w:r>
    </w:p>
    <w:p>
      <w:pPr>
        <w:pStyle w:val="Heading2"/>
        <w:spacing w:after="120" w:before="240"/>
      </w:pPr>
      <w:r>
        <w:t xml:space="preserve">6.1 Phase 1 — Docker</w:t>
      </w:r>
    </w:p>
    <w:p>
      <w:pPr>
        <w:spacing w:after="160"/>
        <w:jc w:val="both"/>
      </w:pPr>
      <w:r>
        <w:t xml:space="preserve">Containerize the LMS application stack (Next.js frontend, Node.js/Express backend, MySQL) using Docker and Docker Compose for local and staging environments. Apply GitLeaks (secrets scan), Trivy (image vulnerability scan), and Syft/Grype (SBOM generation and scanning) at build time, before any image is pushed to a registry. HashiCorp Vault is integrated for secrets management, and Falco monitors container runtime behavior on the host.</w:t>
      </w:r>
    </w:p>
    <w:p>
      <w:pPr>
        <w:pStyle w:val="Heading2"/>
        <w:spacing w:after="120" w:before="240"/>
      </w:pPr>
      <w:r>
        <w:t xml:space="preserve">6.2 Phase 2 — CI/CD Pipeline</w:t>
      </w:r>
    </w:p>
    <w:p>
      <w:pPr>
        <w:spacing w:after="160"/>
        <w:jc w:val="both"/>
      </w:pPr>
      <w:r>
        <w:t xml:space="preserve">Build an automated pipeline (GitHub Actions or Jenkins) that runs on every commit: GitLeaks → SonarQube static analysis → Docker build → Trivy scan (build fails on critical vulnerabilities) → SBOM generation and archival → deployment of the updated container(s) to the staging server via Docker Compose → OWASP ZAP dynamic scan against the running staging instance. Pipeline status will be reflected in Jira via Smart Commits for full traceability.</w:t>
      </w:r>
    </w:p>
    <w:p>
      <w:pPr>
        <w:pStyle w:val="Heading2"/>
        <w:spacing w:after="120" w:before="240"/>
      </w:pPr>
      <w:r>
        <w:t xml:space="preserve">6.3 Ongoing — Observability</w:t>
      </w:r>
    </w:p>
    <w:p>
      <w:pPr>
        <w:spacing w:after="160"/>
        <w:jc w:val="both"/>
      </w:pPr>
      <w:r>
        <w:t xml:space="preserve">Extend existing Prometheus/Grafana monitoring with an ELK stack for centralized log aggregation, enabling correlation of security events (failed logins, blocked IPs, WAF/UFW/fail2ban activity) across all servers from a single pane of glass.</w:t>
      </w:r>
    </w:p>
    <w:p>
      <w:pPr>
        <w:pStyle w:val="Heading1"/>
        <w:spacing w:after="150" w:before="300"/>
      </w:pPr>
      <w:r>
        <w:t xml:space="preserve">7. Expected Benefits</w:t>
      </w:r>
    </w:p>
    <w:p>
      <w:pPr>
        <w:pStyle w:val="ListParagraph"/>
        <w:numPr>
          <w:ilvl w:val="0"/>
          <w:numId w:val="1"/>
        </w:numPr>
        <w:spacing w:after="80"/>
      </w:pPr>
      <w:r>
        <w:t xml:space="preserve">Earlier detection of vulnerabilities and misconfigurations — before they reach production, at a fraction of the remediation cost.</w:t>
      </w:r>
    </w:p>
    <w:p>
      <w:pPr>
        <w:pStyle w:val="ListParagraph"/>
        <w:numPr>
          <w:ilvl w:val="0"/>
          <w:numId w:val="1"/>
        </w:numPr>
        <w:spacing w:after="80"/>
      </w:pPr>
      <w:r>
        <w:t xml:space="preserve">Reduced recurrence of resource-exhaustion incidents through container-level resource limits and runtime monitoring.</w:t>
      </w:r>
    </w:p>
    <w:p>
      <w:pPr>
        <w:pStyle w:val="ListParagraph"/>
        <w:numPr>
          <w:ilvl w:val="0"/>
          <w:numId w:val="1"/>
        </w:numPr>
        <w:spacing w:after="80"/>
      </w:pPr>
      <w:r>
        <w:t xml:space="preserve">Full audit trail from code commit to production deployment via Jira and pipeline logs.</w:t>
      </w:r>
    </w:p>
    <w:p>
      <w:pPr>
        <w:pStyle w:val="ListParagraph"/>
        <w:numPr>
          <w:ilvl w:val="0"/>
          <w:numId w:val="1"/>
        </w:numPr>
        <w:spacing w:after="80"/>
      </w:pPr>
      <w:r>
        <w:t xml:space="preserve">A documented, repeatable process that can be extended to other Tele-Taleem systems beyond the LMS.</w:t>
      </w:r>
    </w:p>
    <w:p>
      <w:pPr>
        <w:spacing w:after="100"/>
      </w:pPr>
    </w:p>
    <w:p>
      <w:pPr>
        <w:pStyle w:val="Heading1"/>
        <w:spacing w:after="150" w:before="300"/>
      </w:pPr>
      <w:r>
        <w:t xml:space="preserve">8. Requested Next Step</w:t>
      </w:r>
    </w:p>
    <w:p>
      <w:pPr>
        <w:spacing w:after="160"/>
        <w:jc w:val="both"/>
      </w:pPr>
      <w:r>
        <w:t xml:space="preserve">I am requesting sign-off to proceed with Phase 1 (Docker) in a staging environment using a non-production replica of the LMS, with no impact to the live system. I will share findings and a short demo after each phase before proceeding to the next.</w:t>
      </w:r>
    </w:p>
    <w:p>
      <w:pPr>
        <w:pStyle w:val="Heading1"/>
        <w:spacing w:after="150" w:before="300"/>
      </w:pPr>
      <w:r>
        <w:t xml:space="preserve">9. Approval</w:t>
      </w:r>
    </w:p>
    <w:p>
      <w:pPr>
        <w:spacing w:after="400"/>
      </w:pPr>
    </w:p>
    <w:p>
      <w:pPr>
        <w:spacing w:after="500"/>
      </w:pPr>
      <w:r>
        <w:rPr>
          <w:b/>
          <w:bCs/>
          <w:sz w:val="22"/>
          <w:szCs w:val="22"/>
        </w:rPr>
        <w:t xml:space="preserve">Prepared by:</w:t>
      </w:r>
    </w:p>
    <w:p>
      <w:pPr>
        <w:pBdr>
          <w:bottom w:val="single" w:color="000000" w:sz="6" w:space="1"/>
        </w:pBdr>
        <w:spacing w:after="60"/>
      </w:pPr>
      <w:r>
        <w:rPr>
          <w:sz w:val="22"/>
          <w:szCs w:val="22"/>
        </w:rPr>
        <w:t xml:space="preserve">                                                            </w:t>
      </w:r>
    </w:p>
    <w:p>
      <w:pPr>
        <w:spacing w:after="40"/>
      </w:pPr>
      <w:r>
        <w:rPr>
          <w:sz w:val="20"/>
          <w:szCs w:val="20"/>
        </w:rPr>
        <w:t xml:space="preserve">Muhammad Tayyab — DevOps / Cloud Engineer</w:t>
      </w:r>
    </w:p>
    <w:p>
      <w:pPr>
        <w:spacing w:after="600"/>
      </w:pPr>
      <w:r>
        <w:rPr>
          <w:sz w:val="20"/>
          <w:szCs w:val="20"/>
        </w:rPr>
        <w:t xml:space="preserve">Date: ____________________</w:t>
      </w:r>
    </w:p>
    <w:p>
      <w:pPr>
        <w:spacing w:after="500"/>
      </w:pPr>
      <w:r>
        <w:rPr>
          <w:b/>
          <w:bCs/>
          <w:sz w:val="22"/>
          <w:szCs w:val="22"/>
        </w:rPr>
        <w:t xml:space="preserve">Reviewed / Approved by:</w:t>
      </w:r>
    </w:p>
    <w:p>
      <w:pPr>
        <w:pBdr>
          <w:bottom w:val="single" w:color="000000" w:sz="6" w:space="1"/>
        </w:pBdr>
        <w:spacing w:after="60"/>
      </w:pPr>
      <w:r>
        <w:rPr>
          <w:sz w:val="22"/>
          <w:szCs w:val="22"/>
        </w:rPr>
        <w:t xml:space="preserve">                                                            </w:t>
      </w:r>
    </w:p>
    <w:p>
      <w:pPr>
        <w:spacing w:after="40"/>
      </w:pPr>
      <w:r>
        <w:rPr>
          <w:sz w:val="20"/>
          <w:szCs w:val="20"/>
        </w:rPr>
        <w:t xml:space="preserve">Name: Sir Khurram Shahzad          Designation: ____________________</w:t>
      </w:r>
    </w:p>
    <w:p>
      <w:r>
        <w:rPr>
          <w:sz w:val="20"/>
          <w:szCs w:val="20"/>
        </w:rPr>
        <w:t xml:space="preserve">Date: 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DevSecOps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28"/>
      <w:szCs w:val="28"/>
    </w:rPr>
  </w:style>
  <w:style w:type="paragraph" w:styleId="Heading2">
    <w:name w:val="Heading 2"/>
    <w:basedOn w:val="Normal"/>
    <w:next w:val="Normal"/>
    <w:qFormat/>
    <w:pPr>
      <w:spacing w:after="120" w:before="240"/>
    </w:pPr>
    <w:rPr>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2026-07-29T05:59:24.646Z</dcterms:created>
  <dcterms:modified xsi:type="dcterms:W3CDTF">2026-07-29T05:59:24.793Z</dcterms:modified>
</cp:coreProperties>
</file>

<file path=docProps/custom.xml><?xml version="1.0" encoding="utf-8"?>
<Properties xmlns="http://schemas.openxmlformats.org/officeDocument/2006/custom-properties" xmlns:vt="http://schemas.openxmlformats.org/officeDocument/2006/docPropsVTypes"/>
</file>