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6425" w14:textId="1D75E834" w:rsidR="005B1092" w:rsidRDefault="005B1092" w:rsidP="005B1092">
      <w:pPr>
        <w:jc w:val="center"/>
        <w:rPr>
          <w:rFonts w:ascii="Georgia" w:hAnsi="Georgia"/>
          <w:b/>
          <w:sz w:val="28"/>
          <w:szCs w:val="24"/>
        </w:rPr>
      </w:pPr>
      <w:r w:rsidRPr="00C20A1E">
        <w:rPr>
          <w:rFonts w:ascii="Georgia" w:hAnsi="Georgia"/>
          <w:b/>
          <w:sz w:val="28"/>
          <w:szCs w:val="24"/>
        </w:rPr>
        <w:t>Alena Skolkova</w:t>
      </w:r>
    </w:p>
    <w:p w14:paraId="4F59DA99" w14:textId="07CBA4CD" w:rsidR="00FA6BA2" w:rsidRDefault="00A517EF" w:rsidP="00FA6BA2">
      <w:pPr>
        <w:spacing w:after="0"/>
        <w:jc w:val="center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CERGE-EI, </w:t>
      </w:r>
      <w:proofErr w:type="spellStart"/>
      <w:r w:rsidR="00FA6BA2" w:rsidRPr="00C20A1E">
        <w:rPr>
          <w:rFonts w:ascii="Georgia" w:hAnsi="Georgia"/>
          <w:sz w:val="21"/>
          <w:szCs w:val="21"/>
        </w:rPr>
        <w:t>Politických</w:t>
      </w:r>
      <w:proofErr w:type="spellEnd"/>
      <w:r w:rsidR="00FA6BA2" w:rsidRPr="00C20A1E">
        <w:rPr>
          <w:rFonts w:ascii="Georgia" w:hAnsi="Georgia"/>
          <w:sz w:val="21"/>
          <w:szCs w:val="21"/>
        </w:rPr>
        <w:t xml:space="preserve"> </w:t>
      </w:r>
      <w:proofErr w:type="spellStart"/>
      <w:r w:rsidR="00FA6BA2" w:rsidRPr="00C20A1E">
        <w:rPr>
          <w:rFonts w:ascii="Georgia" w:hAnsi="Georgia"/>
          <w:sz w:val="21"/>
          <w:szCs w:val="21"/>
        </w:rPr>
        <w:t>vězňů</w:t>
      </w:r>
      <w:proofErr w:type="spellEnd"/>
      <w:r w:rsidR="00FA6BA2" w:rsidRPr="00C20A1E">
        <w:rPr>
          <w:rFonts w:ascii="Georgia" w:hAnsi="Georgia"/>
          <w:sz w:val="21"/>
          <w:szCs w:val="21"/>
        </w:rPr>
        <w:t xml:space="preserve"> 7, 111 21 Prague</w:t>
      </w:r>
      <w:r w:rsidR="00FA6BA2">
        <w:rPr>
          <w:rFonts w:ascii="Georgia" w:hAnsi="Georgia"/>
          <w:sz w:val="21"/>
          <w:szCs w:val="21"/>
        </w:rPr>
        <w:t>, Czech Republic</w:t>
      </w:r>
    </w:p>
    <w:p w14:paraId="5939E92D" w14:textId="4D0E6B9A" w:rsidR="005B1092" w:rsidRDefault="00FA6BA2" w:rsidP="00FA6BA2">
      <w:pPr>
        <w:spacing w:after="0"/>
        <w:jc w:val="center"/>
        <w:rPr>
          <w:rFonts w:ascii="Georgia" w:hAnsi="Georgia"/>
          <w:b/>
          <w:color w:val="292929"/>
          <w:sz w:val="24"/>
          <w:szCs w:val="26"/>
        </w:rPr>
      </w:pPr>
      <w:r w:rsidRPr="00C20A1E">
        <w:rPr>
          <w:rFonts w:ascii="Georgia" w:hAnsi="Georgia"/>
          <w:sz w:val="21"/>
          <w:szCs w:val="21"/>
        </w:rPr>
        <w:t xml:space="preserve">alena.skolkova@cerge-ei.cz   </w:t>
      </w:r>
      <w:hyperlink r:id="rId5" w:history="1">
        <w:r w:rsidRPr="00B44504">
          <w:rPr>
            <w:rStyle w:val="Hyperlink"/>
            <w:rFonts w:ascii="Georgia" w:hAnsi="Georgia"/>
            <w:color w:val="2E74B5" w:themeColor="accent5" w:themeShade="BF"/>
            <w:sz w:val="21"/>
            <w:szCs w:val="21"/>
          </w:rPr>
          <w:t>https://askolkova.github.io/</w:t>
        </w:r>
      </w:hyperlink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70"/>
        <w:gridCol w:w="8820"/>
        <w:gridCol w:w="175"/>
        <w:gridCol w:w="1035"/>
        <w:gridCol w:w="230"/>
        <w:gridCol w:w="175"/>
      </w:tblGrid>
      <w:tr w:rsidR="00E70634" w14:paraId="042A5EFB" w14:textId="77777777" w:rsidTr="0076238F">
        <w:trPr>
          <w:gridAfter w:val="2"/>
          <w:wAfter w:w="405" w:type="dxa"/>
          <w:trHeight w:val="268"/>
        </w:trPr>
        <w:tc>
          <w:tcPr>
            <w:tcW w:w="10300" w:type="dxa"/>
            <w:gridSpan w:val="4"/>
            <w:tcBorders>
              <w:top w:val="nil"/>
              <w:left w:val="nil"/>
              <w:right w:val="nil"/>
            </w:tcBorders>
          </w:tcPr>
          <w:p w14:paraId="1DB35757" w14:textId="161F7864" w:rsidR="00E70634" w:rsidRPr="00E70634" w:rsidRDefault="001C24FF" w:rsidP="005B1092">
            <w:pPr>
              <w:rPr>
                <w:rFonts w:ascii="Georgia" w:hAnsi="Georgia"/>
                <w:b/>
                <w:color w:val="292929"/>
                <w:sz w:val="16"/>
                <w:szCs w:val="16"/>
              </w:rPr>
            </w:pPr>
            <w:r w:rsidRPr="00E70634">
              <w:rPr>
                <w:rFonts w:ascii="Georgia" w:hAnsi="Georgia"/>
                <w:b/>
                <w:color w:val="292929"/>
                <w:sz w:val="24"/>
                <w:szCs w:val="26"/>
              </w:rPr>
              <w:t>EDUCATION</w:t>
            </w:r>
          </w:p>
        </w:tc>
      </w:tr>
      <w:tr w:rsidR="00151BE8" w:rsidRPr="00C20A1E" w14:paraId="35E4C0A8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70" w:type="dxa"/>
          <w:wAfter w:w="175" w:type="dxa"/>
          <w:trHeight w:val="647"/>
        </w:trPr>
        <w:tc>
          <w:tcPr>
            <w:tcW w:w="8820" w:type="dxa"/>
          </w:tcPr>
          <w:p w14:paraId="688A6367" w14:textId="77777777" w:rsidR="00F779CC" w:rsidRPr="00C20A1E" w:rsidRDefault="00F779CC" w:rsidP="00915828">
            <w:pPr>
              <w:spacing w:before="240"/>
              <w:rPr>
                <w:rFonts w:ascii="Georgia" w:hAnsi="Georgia"/>
                <w:b/>
                <w:sz w:val="21"/>
                <w:szCs w:val="21"/>
              </w:rPr>
            </w:pPr>
            <w:r w:rsidRPr="00C20A1E">
              <w:rPr>
                <w:rFonts w:ascii="Georgia" w:hAnsi="Georgia"/>
                <w:b/>
                <w:sz w:val="21"/>
                <w:szCs w:val="21"/>
              </w:rPr>
              <w:t>Ph.D., Economics &amp; Econometrics</w:t>
            </w:r>
          </w:p>
          <w:p w14:paraId="2014444E" w14:textId="77777777" w:rsidR="00BD798D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Center for Economic Research and Graduate Education - Economics Institute</w:t>
            </w:r>
            <w:r w:rsidR="00F87470">
              <w:rPr>
                <w:rFonts w:ascii="Georgia" w:hAnsi="Georgia"/>
                <w:sz w:val="21"/>
                <w:szCs w:val="21"/>
              </w:rPr>
              <w:t xml:space="preserve"> (CERGE-EI)</w:t>
            </w:r>
          </w:p>
          <w:p w14:paraId="774410C9" w14:textId="77777777" w:rsidR="00F779CC" w:rsidRPr="00C20A1E" w:rsidRDefault="00F779CC" w:rsidP="0076238F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1440" w:type="dxa"/>
            <w:gridSpan w:val="3"/>
          </w:tcPr>
          <w:p w14:paraId="6E294221" w14:textId="77777777" w:rsidR="0075428C" w:rsidRDefault="0076238F" w:rsidP="00915828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2023</w:t>
            </w:r>
          </w:p>
          <w:p w14:paraId="0944F7D8" w14:textId="67FCD27F" w:rsidR="0080191D" w:rsidRPr="00C20A1E" w:rsidRDefault="0080191D" w:rsidP="0075428C">
            <w:pPr>
              <w:rPr>
                <w:rFonts w:ascii="Georgia" w:hAnsi="Georgia"/>
                <w:sz w:val="21"/>
                <w:szCs w:val="21"/>
              </w:rPr>
            </w:pPr>
          </w:p>
        </w:tc>
      </w:tr>
      <w:tr w:rsidR="00151BE8" w:rsidRPr="00C20A1E" w14:paraId="4E1E928C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70" w:type="dxa"/>
          <w:wAfter w:w="175" w:type="dxa"/>
          <w:trHeight w:val="368"/>
        </w:trPr>
        <w:tc>
          <w:tcPr>
            <w:tcW w:w="8820" w:type="dxa"/>
          </w:tcPr>
          <w:p w14:paraId="23BFC6CC" w14:textId="77777777" w:rsidR="00F779CC" w:rsidRPr="00C20A1E" w:rsidRDefault="00F779CC" w:rsidP="005B1092">
            <w:pPr>
              <w:rPr>
                <w:rFonts w:ascii="Georgia" w:hAnsi="Georgia"/>
                <w:b/>
                <w:sz w:val="21"/>
                <w:szCs w:val="21"/>
              </w:rPr>
            </w:pPr>
            <w:r w:rsidRPr="00C20A1E">
              <w:rPr>
                <w:rFonts w:ascii="Georgia" w:hAnsi="Georgia"/>
                <w:b/>
                <w:sz w:val="21"/>
                <w:szCs w:val="21"/>
              </w:rPr>
              <w:t>M.A., Economics &amp; Quantitative Methods</w:t>
            </w:r>
          </w:p>
          <w:p w14:paraId="0F3A4AD1" w14:textId="09E77F8D" w:rsidR="00F779CC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European University at Saint Petersburg</w:t>
            </w:r>
            <w:r w:rsidR="00CB5989">
              <w:rPr>
                <w:rFonts w:ascii="Georgia" w:hAnsi="Georgia"/>
                <w:sz w:val="21"/>
                <w:szCs w:val="21"/>
              </w:rPr>
              <w:t xml:space="preserve"> (</w:t>
            </w:r>
            <w:proofErr w:type="spellStart"/>
            <w:r w:rsidR="00CB5989">
              <w:rPr>
                <w:rFonts w:ascii="Georgia" w:hAnsi="Georgia"/>
                <w:sz w:val="21"/>
                <w:szCs w:val="21"/>
              </w:rPr>
              <w:t>EUSPb</w:t>
            </w:r>
            <w:proofErr w:type="spellEnd"/>
            <w:r w:rsidR="00CB5989">
              <w:rPr>
                <w:rFonts w:ascii="Georgia" w:hAnsi="Georgia"/>
                <w:sz w:val="21"/>
                <w:szCs w:val="21"/>
              </w:rPr>
              <w:t>)</w:t>
            </w:r>
          </w:p>
          <w:p w14:paraId="4A54EB13" w14:textId="77777777" w:rsidR="00F779CC" w:rsidRPr="00C20A1E" w:rsidRDefault="00F779CC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Thesis:</w:t>
            </w:r>
            <w:r w:rsidR="00F02992" w:rsidRPr="00C20A1E">
              <w:rPr>
                <w:rFonts w:ascii="Georgia" w:hAnsi="Georgia"/>
                <w:sz w:val="21"/>
                <w:szCs w:val="21"/>
              </w:rPr>
              <w:t xml:space="preserve"> </w:t>
            </w:r>
            <w:r w:rsidRPr="00C20A1E">
              <w:rPr>
                <w:rFonts w:ascii="Georgia" w:hAnsi="Georgia"/>
                <w:sz w:val="21"/>
                <w:szCs w:val="21"/>
              </w:rPr>
              <w:t xml:space="preserve"> Models of Economic Growth with Consumption Externalities</w:t>
            </w:r>
          </w:p>
          <w:p w14:paraId="36CB05C1" w14:textId="77777777" w:rsidR="00151BE8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 xml:space="preserve"> </w:t>
            </w:r>
          </w:p>
        </w:tc>
        <w:tc>
          <w:tcPr>
            <w:tcW w:w="1440" w:type="dxa"/>
            <w:gridSpan w:val="3"/>
          </w:tcPr>
          <w:p w14:paraId="25A88C64" w14:textId="6C444A76" w:rsidR="00151BE8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2015</w:t>
            </w:r>
          </w:p>
        </w:tc>
      </w:tr>
      <w:tr w:rsidR="00151BE8" w:rsidRPr="00C20A1E" w14:paraId="6646304B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70" w:type="dxa"/>
          <w:wAfter w:w="175" w:type="dxa"/>
          <w:trHeight w:val="332"/>
        </w:trPr>
        <w:tc>
          <w:tcPr>
            <w:tcW w:w="8820" w:type="dxa"/>
          </w:tcPr>
          <w:p w14:paraId="05E8E3DF" w14:textId="77777777" w:rsidR="00F779CC" w:rsidRPr="00C20A1E" w:rsidRDefault="00F779CC" w:rsidP="005B1092">
            <w:pPr>
              <w:rPr>
                <w:rFonts w:ascii="Georgia" w:hAnsi="Georgia"/>
                <w:b/>
                <w:sz w:val="21"/>
                <w:szCs w:val="21"/>
              </w:rPr>
            </w:pPr>
            <w:r w:rsidRPr="00C20A1E">
              <w:rPr>
                <w:rFonts w:ascii="Georgia" w:hAnsi="Georgia"/>
                <w:b/>
                <w:sz w:val="21"/>
                <w:szCs w:val="21"/>
              </w:rPr>
              <w:t>B.A., Economics</w:t>
            </w:r>
          </w:p>
          <w:p w14:paraId="527AA1C6" w14:textId="77777777" w:rsidR="00151BE8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Higher School of Economics</w:t>
            </w:r>
            <w:r w:rsidR="00933989">
              <w:rPr>
                <w:rFonts w:ascii="Georgia" w:hAnsi="Georgia"/>
                <w:sz w:val="21"/>
                <w:szCs w:val="21"/>
              </w:rPr>
              <w:t xml:space="preserve"> (HSE)</w:t>
            </w:r>
          </w:p>
          <w:p w14:paraId="459D18DF" w14:textId="77777777" w:rsidR="00F02992" w:rsidRPr="00C20A1E" w:rsidRDefault="00F02992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Thesis: Endogenous Entrepreneurship under Monopolistic Competition</w:t>
            </w:r>
          </w:p>
        </w:tc>
        <w:tc>
          <w:tcPr>
            <w:tcW w:w="1440" w:type="dxa"/>
            <w:gridSpan w:val="3"/>
          </w:tcPr>
          <w:p w14:paraId="36D00B17" w14:textId="3AC680B4" w:rsidR="00151BE8" w:rsidRPr="00C20A1E" w:rsidRDefault="00151BE8" w:rsidP="005B1092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2013</w:t>
            </w:r>
          </w:p>
        </w:tc>
      </w:tr>
      <w:tr w:rsidR="00014E3A" w14:paraId="78190261" w14:textId="77777777" w:rsidTr="0076238F">
        <w:trPr>
          <w:gridAfter w:val="2"/>
          <w:wAfter w:w="405" w:type="dxa"/>
        </w:trPr>
        <w:tc>
          <w:tcPr>
            <w:tcW w:w="1030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DB79D44" w14:textId="1997003E" w:rsidR="00014E3A" w:rsidRDefault="001C24FF" w:rsidP="00915828">
            <w:pPr>
              <w:spacing w:before="240"/>
              <w:rPr>
                <w:rFonts w:ascii="Georgia" w:hAnsi="Georgia"/>
                <w:b/>
                <w:sz w:val="24"/>
                <w:szCs w:val="26"/>
              </w:rPr>
            </w:pPr>
            <w:r>
              <w:rPr>
                <w:rFonts w:ascii="Georgia" w:hAnsi="Georgia"/>
                <w:b/>
                <w:sz w:val="24"/>
                <w:szCs w:val="26"/>
              </w:rPr>
              <w:t>FIELDS</w:t>
            </w:r>
          </w:p>
        </w:tc>
      </w:tr>
      <w:tr w:rsidR="00014E3A" w14:paraId="4BAACB20" w14:textId="77777777" w:rsidTr="00AB6992">
        <w:trPr>
          <w:gridAfter w:val="2"/>
          <w:wAfter w:w="405" w:type="dxa"/>
          <w:trHeight w:val="683"/>
        </w:trPr>
        <w:tc>
          <w:tcPr>
            <w:tcW w:w="103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27D4AC8" w14:textId="712BD7DC" w:rsidR="00B01743" w:rsidRPr="002656D7" w:rsidRDefault="00014E3A" w:rsidP="009773A5">
            <w:pPr>
              <w:spacing w:before="240"/>
              <w:ind w:left="260"/>
              <w:rPr>
                <w:rFonts w:ascii="Georgia" w:hAnsi="Georgia"/>
                <w:sz w:val="21"/>
                <w:szCs w:val="21"/>
              </w:rPr>
            </w:pPr>
            <w:r w:rsidRPr="00CD4750">
              <w:rPr>
                <w:rFonts w:ascii="Georgia" w:hAnsi="Georgia"/>
                <w:sz w:val="21"/>
                <w:szCs w:val="21"/>
              </w:rPr>
              <w:t>Econometric Theory,</w:t>
            </w:r>
            <w:r w:rsidR="00CD4750">
              <w:rPr>
                <w:rFonts w:ascii="Georgia" w:hAnsi="Georgia"/>
                <w:sz w:val="21"/>
                <w:szCs w:val="21"/>
              </w:rPr>
              <w:t xml:space="preserve"> Applied </w:t>
            </w:r>
            <w:r w:rsidRPr="00C20A1E">
              <w:rPr>
                <w:rFonts w:ascii="Georgia" w:hAnsi="Georgia"/>
                <w:sz w:val="21"/>
                <w:szCs w:val="21"/>
              </w:rPr>
              <w:t>Machine Learning</w:t>
            </w:r>
          </w:p>
        </w:tc>
      </w:tr>
      <w:tr w:rsidR="00014E3A" w14:paraId="02F2D272" w14:textId="77777777" w:rsidTr="0076238F">
        <w:trPr>
          <w:gridAfter w:val="2"/>
          <w:wAfter w:w="405" w:type="dxa"/>
        </w:trPr>
        <w:tc>
          <w:tcPr>
            <w:tcW w:w="10300" w:type="dxa"/>
            <w:gridSpan w:val="4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723F56D3" w14:textId="306C761C" w:rsidR="00014E3A" w:rsidRDefault="001C24FF" w:rsidP="00CD5B09">
            <w:pPr>
              <w:rPr>
                <w:rFonts w:ascii="Georgia" w:hAnsi="Georgia"/>
                <w:b/>
                <w:sz w:val="24"/>
                <w:szCs w:val="26"/>
              </w:rPr>
            </w:pPr>
            <w:r>
              <w:rPr>
                <w:rFonts w:ascii="Georgia" w:hAnsi="Georgia"/>
                <w:b/>
                <w:sz w:val="24"/>
                <w:szCs w:val="26"/>
              </w:rPr>
              <w:t>RESEARCH PAPERS</w:t>
            </w:r>
          </w:p>
        </w:tc>
      </w:tr>
      <w:tr w:rsidR="00014E3A" w14:paraId="21BB2506" w14:textId="77777777" w:rsidTr="0076238F">
        <w:trPr>
          <w:gridAfter w:val="2"/>
          <w:wAfter w:w="405" w:type="dxa"/>
          <w:trHeight w:val="513"/>
        </w:trPr>
        <w:tc>
          <w:tcPr>
            <w:tcW w:w="10300" w:type="dxa"/>
            <w:gridSpan w:val="4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14:paraId="0FFEBA0F" w14:textId="553FF628" w:rsidR="003C3922" w:rsidRDefault="001C24FF" w:rsidP="00FA6BA2">
            <w:pPr>
              <w:spacing w:before="240"/>
              <w:ind w:firstLine="255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b/>
                <w:sz w:val="21"/>
                <w:szCs w:val="21"/>
              </w:rPr>
              <w:t>“</w:t>
            </w:r>
            <w:r w:rsidR="00915828" w:rsidRPr="001C24FF">
              <w:rPr>
                <w:rFonts w:ascii="Georgia" w:hAnsi="Georgia"/>
                <w:b/>
                <w:sz w:val="21"/>
                <w:szCs w:val="21"/>
              </w:rPr>
              <w:t>Ridge Model Averaging</w:t>
            </w:r>
            <w:r>
              <w:rPr>
                <w:rFonts w:ascii="Georgia" w:hAnsi="Georgia"/>
                <w:b/>
                <w:sz w:val="21"/>
                <w:szCs w:val="21"/>
              </w:rPr>
              <w:t>”</w:t>
            </w:r>
            <w:r w:rsidR="00915828">
              <w:rPr>
                <w:rFonts w:ascii="Georgia" w:hAnsi="Georgia"/>
                <w:b/>
                <w:sz w:val="21"/>
                <w:szCs w:val="21"/>
              </w:rPr>
              <w:t xml:space="preserve"> </w:t>
            </w:r>
            <w:r w:rsidR="00915828" w:rsidRPr="00915828">
              <w:rPr>
                <w:rFonts w:ascii="Georgia" w:hAnsi="Georgia"/>
                <w:sz w:val="21"/>
                <w:szCs w:val="21"/>
              </w:rPr>
              <w:t>(</w:t>
            </w:r>
            <w:hyperlink r:id="rId6" w:history="1">
              <w:r w:rsidR="005F5FE5">
                <w:rPr>
                  <w:rStyle w:val="Hyperlink"/>
                  <w:rFonts w:ascii="Georgia" w:hAnsi="Georgia"/>
                  <w:color w:val="990033"/>
                  <w:sz w:val="21"/>
                  <w:szCs w:val="21"/>
                </w:rPr>
                <w:t>paper</w:t>
              </w:r>
            </w:hyperlink>
            <w:r w:rsidR="00915828" w:rsidRPr="00915828">
              <w:rPr>
                <w:rFonts w:ascii="Georgia" w:hAnsi="Georgia"/>
                <w:sz w:val="21"/>
                <w:szCs w:val="21"/>
              </w:rPr>
              <w:t>)</w:t>
            </w:r>
          </w:p>
          <w:p w14:paraId="2C40AABA" w14:textId="64E24282" w:rsidR="001C24FF" w:rsidRPr="001C24FF" w:rsidRDefault="001C24FF" w:rsidP="001C24FF">
            <w:pPr>
              <w:spacing w:before="240" w:line="276" w:lineRule="auto"/>
              <w:ind w:left="260"/>
              <w:jc w:val="both"/>
              <w:rPr>
                <w:rFonts w:ascii="Georgia" w:hAnsi="Georgia"/>
                <w:sz w:val="20"/>
                <w:szCs w:val="21"/>
              </w:rPr>
            </w:pPr>
            <w:r w:rsidRPr="001C24FF">
              <w:rPr>
                <w:rFonts w:ascii="Georgia" w:hAnsi="Georgia"/>
                <w:sz w:val="20"/>
                <w:szCs w:val="21"/>
              </w:rPr>
              <w:t xml:space="preserve">Model averaging is an increasingly popular alternative to model selection. Ridge regression and model averaging serve a similar purpose, minimization of a mean squared error through shrinkage, though in different ways. In this paper, I propose the ridge-regularized modifications of Mallows model averaging (Hansen, 2007, </w:t>
            </w:r>
            <w:proofErr w:type="spellStart"/>
            <w:r w:rsidRPr="001C24FF">
              <w:rPr>
                <w:rFonts w:ascii="Georgia" w:hAnsi="Georgia"/>
                <w:sz w:val="20"/>
                <w:szCs w:val="21"/>
              </w:rPr>
              <w:t>Econometrica</w:t>
            </w:r>
            <w:proofErr w:type="spellEnd"/>
            <w:r w:rsidRPr="001C24FF">
              <w:rPr>
                <w:rFonts w:ascii="Georgia" w:hAnsi="Georgia"/>
                <w:sz w:val="20"/>
                <w:szCs w:val="21"/>
              </w:rPr>
              <w:t xml:space="preserve">, 75) and heteroskedasticity-robust Mallows model averaging (Liu &amp; </w:t>
            </w:r>
            <w:proofErr w:type="spellStart"/>
            <w:r w:rsidRPr="001C24FF">
              <w:rPr>
                <w:rFonts w:ascii="Georgia" w:hAnsi="Georgia"/>
                <w:sz w:val="20"/>
                <w:szCs w:val="21"/>
              </w:rPr>
              <w:t>Okui</w:t>
            </w:r>
            <w:proofErr w:type="spellEnd"/>
            <w:r w:rsidRPr="001C24FF">
              <w:rPr>
                <w:rFonts w:ascii="Georgia" w:hAnsi="Georgia"/>
                <w:sz w:val="20"/>
                <w:szCs w:val="21"/>
              </w:rPr>
              <w:t>, 2013, The Econometrics Journal, 16) to utilize the capabilities of averaging and ridge regularization simultaneously. Via a simulation study, I examine the finite-sample improvements obtained by replacing least-squares with a ridge regression. Ridge-based model averaging is especially useful when one deals with sets of moderately to highly correlated predictors because the underlying ridge regression accommodates correlated predictors without blowing up estimation variance. A toy theoretical example shows that the relative reduction of the mean squared error is increasing with the strength of a correlation. I also demonstrate the superiority of the ridge-regularized modifications via empirical examples, focused on wages and economic growth.</w:t>
            </w:r>
          </w:p>
          <w:p w14:paraId="38800135" w14:textId="1C4EA438" w:rsidR="00D56CDD" w:rsidRPr="00915828" w:rsidRDefault="00D56CDD" w:rsidP="00D80E4E">
            <w:pPr>
              <w:spacing w:before="240"/>
              <w:rPr>
                <w:rFonts w:ascii="Georgia" w:hAnsi="Georgia"/>
                <w:sz w:val="21"/>
                <w:szCs w:val="21"/>
              </w:rPr>
            </w:pPr>
          </w:p>
        </w:tc>
      </w:tr>
      <w:tr w:rsidR="00014E3A" w14:paraId="3A74427F" w14:textId="77777777" w:rsidTr="00364D0B">
        <w:trPr>
          <w:gridAfter w:val="2"/>
          <w:wAfter w:w="405" w:type="dxa"/>
          <w:trHeight w:val="675"/>
        </w:trPr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1BFADA" w14:textId="5765C3B8" w:rsidR="00FA6BA2" w:rsidRPr="005F5FE5" w:rsidRDefault="005F5FE5" w:rsidP="00364D0B">
            <w:pPr>
              <w:spacing w:before="240"/>
              <w:ind w:firstLine="255"/>
              <w:rPr>
                <w:rFonts w:ascii="Georgia" w:hAnsi="Georgia"/>
                <w:b/>
                <w:sz w:val="21"/>
                <w:szCs w:val="21"/>
              </w:rPr>
            </w:pPr>
            <w:r>
              <w:rPr>
                <w:rFonts w:ascii="Georgia" w:hAnsi="Georgia"/>
                <w:b/>
                <w:sz w:val="21"/>
                <w:szCs w:val="21"/>
              </w:rPr>
              <w:t>“</w:t>
            </w:r>
            <w:r w:rsidR="00014E3A" w:rsidRPr="005F5FE5">
              <w:rPr>
                <w:rFonts w:ascii="Georgia" w:hAnsi="Georgia"/>
                <w:b/>
                <w:sz w:val="21"/>
                <w:szCs w:val="21"/>
              </w:rPr>
              <w:t>Elastic-Net for Instrumental Variables Regression</w:t>
            </w:r>
            <w:r>
              <w:rPr>
                <w:rFonts w:ascii="Georgia" w:hAnsi="Georgia"/>
                <w:b/>
                <w:sz w:val="21"/>
                <w:szCs w:val="21"/>
              </w:rPr>
              <w:t xml:space="preserve">” </w:t>
            </w:r>
            <w:r w:rsidRPr="005F5FE5">
              <w:rPr>
                <w:rFonts w:ascii="Georgia" w:hAnsi="Georgia"/>
                <w:sz w:val="21"/>
                <w:szCs w:val="21"/>
              </w:rPr>
              <w:t>(</w:t>
            </w:r>
            <w:hyperlink r:id="rId7" w:history="1">
              <w:r w:rsidRPr="005F5FE5">
                <w:rPr>
                  <w:rStyle w:val="Hyperlink"/>
                  <w:rFonts w:ascii="Georgia" w:hAnsi="Georgia"/>
                  <w:color w:val="990033"/>
                  <w:sz w:val="21"/>
                  <w:szCs w:val="21"/>
                </w:rPr>
                <w:t>extended abstract</w:t>
              </w:r>
            </w:hyperlink>
            <w:r w:rsidRPr="005F5FE5">
              <w:rPr>
                <w:rFonts w:ascii="Georgia" w:hAnsi="Georgia"/>
                <w:sz w:val="21"/>
                <w:szCs w:val="21"/>
              </w:rPr>
              <w:t>)</w:t>
            </w:r>
          </w:p>
          <w:p w14:paraId="1006D049" w14:textId="70713C4F" w:rsidR="001C24FF" w:rsidRDefault="001C24FF" w:rsidP="00A056A0">
            <w:pPr>
              <w:spacing w:before="240" w:line="276" w:lineRule="auto"/>
              <w:ind w:left="260"/>
              <w:jc w:val="both"/>
              <w:rPr>
                <w:rFonts w:ascii="Georgia" w:hAnsi="Georgia"/>
                <w:sz w:val="20"/>
                <w:szCs w:val="21"/>
              </w:rPr>
            </w:pPr>
            <w:r w:rsidRPr="001C24FF">
              <w:rPr>
                <w:rFonts w:ascii="Georgia" w:hAnsi="Georgia"/>
                <w:sz w:val="20"/>
                <w:szCs w:val="21"/>
              </w:rPr>
              <w:t>Instrumental variables (IV) are commonly applied for identification of treatment effects and policy evaluation. The use of many informative instruments improves the estimate accuracy. However, dealing with high-dimensional sets of instrumental variables of unknown strength may be complicated and requires instrument selection or regularization of the first-stage regression. Currently, lasso is established as one of the most popular regularization techniques relying on the assumption of approximate sparsity. I investigate the relative performance of the lasso and elastic-net estimators for fitting the first stage as part of IV estimation. As elastic-net involves ridge-type regularization, it generally improves upon lasso in finite samples when correlations among the instrumental variables are not negligible. I claim the asymptotic equivalence of the IV estimators that employ the lasso and elastic-net first-stage estimates. Via a Monte Carlo study I demonstrate the robustness of the IV estimator based on the elastic-net first-stage estimates to correlation among the instruments, and deviations from approximate sparsity. Finally, I provide an empirical example that employs the elastic-net IV estimator for estimation of return to schooling.</w:t>
            </w:r>
          </w:p>
          <w:p w14:paraId="4323A0F4" w14:textId="77777777" w:rsidR="005F5FE5" w:rsidRDefault="005F5FE5" w:rsidP="001C24FF">
            <w:pPr>
              <w:spacing w:before="240" w:line="276" w:lineRule="auto"/>
              <w:ind w:left="260"/>
              <w:rPr>
                <w:rFonts w:ascii="Georgia" w:hAnsi="Georgia"/>
                <w:sz w:val="20"/>
                <w:szCs w:val="21"/>
              </w:rPr>
            </w:pPr>
          </w:p>
          <w:p w14:paraId="23882EB3" w14:textId="31547485" w:rsidR="005F5FE5" w:rsidRPr="00C20A1E" w:rsidRDefault="005F5FE5" w:rsidP="001C24FF">
            <w:pPr>
              <w:spacing w:before="240" w:line="276" w:lineRule="auto"/>
              <w:ind w:left="260"/>
              <w:rPr>
                <w:rFonts w:ascii="Georgia" w:hAnsi="Georgia"/>
                <w:sz w:val="21"/>
                <w:szCs w:val="21"/>
              </w:rPr>
            </w:pPr>
          </w:p>
        </w:tc>
      </w:tr>
      <w:tr w:rsidR="00B01743" w14:paraId="2B03626A" w14:textId="77777777" w:rsidTr="0076238F">
        <w:trPr>
          <w:gridAfter w:val="2"/>
          <w:wAfter w:w="405" w:type="dxa"/>
        </w:trPr>
        <w:tc>
          <w:tcPr>
            <w:tcW w:w="1030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27E831" w14:textId="17B264C5" w:rsidR="00B01743" w:rsidRPr="00B01743" w:rsidRDefault="001C24FF" w:rsidP="00CD5B09">
            <w:pPr>
              <w:rPr>
                <w:rFonts w:ascii="Georgia" w:hAnsi="Georgia"/>
                <w:b/>
                <w:sz w:val="24"/>
                <w:szCs w:val="26"/>
              </w:rPr>
            </w:pPr>
            <w:r w:rsidRPr="00F074B7">
              <w:rPr>
                <w:rFonts w:ascii="Georgia" w:hAnsi="Georgia"/>
                <w:b/>
                <w:sz w:val="24"/>
                <w:szCs w:val="26"/>
              </w:rPr>
              <w:lastRenderedPageBreak/>
              <w:t>PUBLICATIONS</w:t>
            </w:r>
          </w:p>
        </w:tc>
      </w:tr>
      <w:tr w:rsidR="00B01743" w14:paraId="58099CF2" w14:textId="77777777" w:rsidTr="0076238F">
        <w:trPr>
          <w:gridAfter w:val="2"/>
          <w:wAfter w:w="405" w:type="dxa"/>
        </w:trPr>
        <w:tc>
          <w:tcPr>
            <w:tcW w:w="103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BE34257" w14:textId="77777777" w:rsidR="002F4160" w:rsidRPr="002F4160" w:rsidRDefault="002F4160" w:rsidP="00CD5B09">
            <w:pPr>
              <w:rPr>
                <w:rFonts w:ascii="Georgia" w:hAnsi="Georgia"/>
                <w:sz w:val="16"/>
                <w:szCs w:val="16"/>
              </w:rPr>
            </w:pPr>
          </w:p>
          <w:p w14:paraId="1874E889" w14:textId="4A72A9D7" w:rsidR="00B01743" w:rsidRPr="00014E3A" w:rsidRDefault="001C24FF" w:rsidP="001C24FF">
            <w:pPr>
              <w:ind w:left="255"/>
              <w:rPr>
                <w:rFonts w:ascii="Georgia" w:hAnsi="Georgia"/>
                <w:sz w:val="21"/>
                <w:szCs w:val="21"/>
              </w:rPr>
            </w:pPr>
            <w:r w:rsidRPr="00F5012F">
              <w:rPr>
                <w:rFonts w:ascii="Georgia" w:hAnsi="Georgia"/>
                <w:b/>
                <w:sz w:val="21"/>
                <w:szCs w:val="21"/>
              </w:rPr>
              <w:t xml:space="preserve">"Many </w:t>
            </w:r>
            <w:r w:rsidR="00602F25">
              <w:rPr>
                <w:rFonts w:ascii="Georgia" w:hAnsi="Georgia"/>
                <w:b/>
                <w:sz w:val="21"/>
                <w:szCs w:val="21"/>
              </w:rPr>
              <w:t>I</w:t>
            </w:r>
            <w:r w:rsidRPr="00F5012F">
              <w:rPr>
                <w:rFonts w:ascii="Georgia" w:hAnsi="Georgia"/>
                <w:b/>
                <w:sz w:val="21"/>
                <w:szCs w:val="21"/>
              </w:rPr>
              <w:t>nstruments:</w:t>
            </w:r>
            <w:r w:rsidR="00602F25">
              <w:rPr>
                <w:rFonts w:ascii="Georgia" w:hAnsi="Georgia"/>
                <w:b/>
                <w:sz w:val="21"/>
                <w:szCs w:val="21"/>
              </w:rPr>
              <w:t xml:space="preserve"> I</w:t>
            </w:r>
            <w:r w:rsidRPr="00F5012F">
              <w:rPr>
                <w:rFonts w:ascii="Georgia" w:hAnsi="Georgia"/>
                <w:b/>
                <w:sz w:val="21"/>
                <w:szCs w:val="21"/>
              </w:rPr>
              <w:t>mplementation in Stata"</w:t>
            </w:r>
            <w:r w:rsidRPr="00B01743">
              <w:rPr>
                <w:rFonts w:ascii="Georgia" w:hAnsi="Georgia"/>
                <w:sz w:val="21"/>
                <w:szCs w:val="21"/>
              </w:rPr>
              <w:t>,</w:t>
            </w:r>
            <w:r>
              <w:rPr>
                <w:rFonts w:ascii="Georgia" w:hAnsi="Georgia"/>
                <w:sz w:val="21"/>
                <w:szCs w:val="21"/>
              </w:rPr>
              <w:t xml:space="preserve"> (with </w:t>
            </w:r>
            <w:r w:rsidRPr="00B01743">
              <w:rPr>
                <w:rFonts w:ascii="Georgia" w:hAnsi="Georgia"/>
                <w:sz w:val="21"/>
                <w:szCs w:val="21"/>
              </w:rPr>
              <w:t>Stanislav</w:t>
            </w:r>
            <w:r>
              <w:rPr>
                <w:rFonts w:ascii="Georgia" w:hAnsi="Georgia"/>
                <w:sz w:val="21"/>
                <w:szCs w:val="21"/>
              </w:rPr>
              <w:t xml:space="preserve"> </w:t>
            </w:r>
            <w:proofErr w:type="spellStart"/>
            <w:r w:rsidRPr="00B01743">
              <w:rPr>
                <w:rFonts w:ascii="Georgia" w:hAnsi="Georgia"/>
                <w:sz w:val="21"/>
                <w:szCs w:val="21"/>
              </w:rPr>
              <w:t>Anatolyev</w:t>
            </w:r>
            <w:proofErr w:type="spellEnd"/>
            <w:r w:rsidRPr="001C24FF">
              <w:rPr>
                <w:rFonts w:ascii="Georgia" w:hAnsi="Georgia"/>
                <w:i/>
                <w:sz w:val="21"/>
                <w:szCs w:val="21"/>
              </w:rPr>
              <w:t>) Stata Journal</w:t>
            </w:r>
            <w:r>
              <w:rPr>
                <w:rFonts w:ascii="Georgia" w:hAnsi="Georgia"/>
                <w:sz w:val="21"/>
                <w:szCs w:val="21"/>
              </w:rPr>
              <w:t>, 2019</w:t>
            </w:r>
          </w:p>
        </w:tc>
      </w:tr>
      <w:tr w:rsidR="00FD3B5D" w14:paraId="09127962" w14:textId="77777777" w:rsidTr="0076238F">
        <w:trPr>
          <w:gridAfter w:val="2"/>
          <w:wAfter w:w="405" w:type="dxa"/>
        </w:trPr>
        <w:tc>
          <w:tcPr>
            <w:tcW w:w="10300" w:type="dxa"/>
            <w:gridSpan w:val="4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61686A43" w14:textId="51CD3A9D" w:rsidR="003C3922" w:rsidRDefault="003C3922" w:rsidP="005B1092">
            <w:pPr>
              <w:rPr>
                <w:rFonts w:ascii="Georgia" w:hAnsi="Georgia"/>
                <w:b/>
                <w:sz w:val="24"/>
                <w:szCs w:val="26"/>
              </w:rPr>
            </w:pPr>
          </w:p>
          <w:p w14:paraId="494E6C48" w14:textId="77777777" w:rsidR="00A41C44" w:rsidRDefault="00A41C44" w:rsidP="005B1092">
            <w:pPr>
              <w:rPr>
                <w:rFonts w:ascii="Georgia" w:hAnsi="Georgia"/>
                <w:b/>
                <w:sz w:val="24"/>
                <w:szCs w:val="26"/>
              </w:rPr>
            </w:pPr>
          </w:p>
          <w:p w14:paraId="628AFCD6" w14:textId="2DEBFD2E" w:rsidR="00FD3B5D" w:rsidRDefault="001C24F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>
              <w:rPr>
                <w:rFonts w:ascii="Georgia" w:hAnsi="Georgia"/>
                <w:b/>
                <w:sz w:val="24"/>
                <w:szCs w:val="26"/>
              </w:rPr>
              <w:t>RESEARCH AND TEACHING ASSISTANTSHIP</w:t>
            </w:r>
          </w:p>
        </w:tc>
      </w:tr>
      <w:tr w:rsidR="00F77CEB" w:rsidRPr="00C20A1E" w14:paraId="39225BB4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0" w:type="dxa"/>
          <w:trHeight w:val="643"/>
        </w:trPr>
        <w:tc>
          <w:tcPr>
            <w:tcW w:w="8995" w:type="dxa"/>
            <w:gridSpan w:val="2"/>
          </w:tcPr>
          <w:p w14:paraId="4BEC7E60" w14:textId="6D279B22" w:rsidR="00F87470" w:rsidRPr="00C20A1E" w:rsidRDefault="00F77CEB" w:rsidP="0076238F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 xml:space="preserve">Research Assistant to Professor Stanislav </w:t>
            </w:r>
            <w:proofErr w:type="spellStart"/>
            <w:r w:rsidRPr="00C20A1E">
              <w:rPr>
                <w:rFonts w:ascii="Georgia" w:hAnsi="Georgia"/>
                <w:sz w:val="21"/>
                <w:szCs w:val="21"/>
              </w:rPr>
              <w:t>Anatol</w:t>
            </w:r>
            <w:r w:rsidR="00F074B7">
              <w:rPr>
                <w:rFonts w:ascii="Georgia" w:hAnsi="Georgia"/>
                <w:sz w:val="21"/>
                <w:szCs w:val="21"/>
              </w:rPr>
              <w:t>y</w:t>
            </w:r>
            <w:r w:rsidRPr="00C20A1E">
              <w:rPr>
                <w:rFonts w:ascii="Georgia" w:hAnsi="Georgia"/>
                <w:sz w:val="21"/>
                <w:szCs w:val="21"/>
              </w:rPr>
              <w:t>ev</w:t>
            </w:r>
            <w:proofErr w:type="spellEnd"/>
            <w:r w:rsidR="003000E2">
              <w:rPr>
                <w:rFonts w:ascii="Georgia" w:hAnsi="Georgia"/>
                <w:sz w:val="21"/>
                <w:szCs w:val="21"/>
              </w:rPr>
              <w:t>, CERGE-EI</w:t>
            </w:r>
          </w:p>
        </w:tc>
        <w:tc>
          <w:tcPr>
            <w:tcW w:w="1440" w:type="dxa"/>
            <w:gridSpan w:val="3"/>
          </w:tcPr>
          <w:p w14:paraId="4AB91333" w14:textId="6ADEF715" w:rsidR="00F77CEB" w:rsidRPr="00C20A1E" w:rsidRDefault="00F77CEB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2017 -</w:t>
            </w:r>
            <w:r w:rsidR="00BF37EB">
              <w:rPr>
                <w:rFonts w:ascii="Georgia" w:hAnsi="Georgia"/>
                <w:sz w:val="21"/>
                <w:szCs w:val="21"/>
              </w:rPr>
              <w:t xml:space="preserve"> 2022</w:t>
            </w:r>
          </w:p>
        </w:tc>
      </w:tr>
      <w:tr w:rsidR="00F77CEB" w:rsidRPr="00C20A1E" w14:paraId="6FE55BE9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0" w:type="dxa"/>
          <w:trHeight w:val="630"/>
        </w:trPr>
        <w:tc>
          <w:tcPr>
            <w:tcW w:w="8995" w:type="dxa"/>
            <w:gridSpan w:val="2"/>
          </w:tcPr>
          <w:p w14:paraId="7C532DC8" w14:textId="1BF04FBB" w:rsidR="00F87470" w:rsidRPr="00C20A1E" w:rsidRDefault="00F77CEB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Teaching Assistant for Econometrics-1 (1</w:t>
            </w:r>
            <w:r w:rsidRPr="00C20A1E">
              <w:rPr>
                <w:rFonts w:ascii="Georgia" w:hAnsi="Georgia"/>
                <w:sz w:val="21"/>
                <w:szCs w:val="21"/>
                <w:vertAlign w:val="superscript"/>
              </w:rPr>
              <w:t>st</w:t>
            </w:r>
            <w:r w:rsidRPr="00C20A1E">
              <w:rPr>
                <w:rFonts w:ascii="Georgia" w:hAnsi="Georgia"/>
                <w:sz w:val="21"/>
                <w:szCs w:val="21"/>
              </w:rPr>
              <w:t xml:space="preserve"> year core </w:t>
            </w:r>
            <w:r w:rsidR="00F87470">
              <w:rPr>
                <w:rFonts w:ascii="Georgia" w:hAnsi="Georgia"/>
                <w:sz w:val="21"/>
                <w:szCs w:val="21"/>
              </w:rPr>
              <w:t xml:space="preserve">Ph.D. </w:t>
            </w:r>
            <w:r w:rsidRPr="00C20A1E">
              <w:rPr>
                <w:rFonts w:ascii="Georgia" w:hAnsi="Georgia"/>
                <w:sz w:val="21"/>
                <w:szCs w:val="21"/>
              </w:rPr>
              <w:t>course), and Time Series Econometrics (2</w:t>
            </w:r>
            <w:r w:rsidRPr="00C20A1E">
              <w:rPr>
                <w:rFonts w:ascii="Georgia" w:hAnsi="Georgia"/>
                <w:sz w:val="21"/>
                <w:szCs w:val="21"/>
                <w:vertAlign w:val="superscript"/>
              </w:rPr>
              <w:t>nd</w:t>
            </w:r>
            <w:r w:rsidRPr="00C20A1E">
              <w:rPr>
                <w:rFonts w:ascii="Georgia" w:hAnsi="Georgia"/>
                <w:sz w:val="21"/>
                <w:szCs w:val="21"/>
              </w:rPr>
              <w:t xml:space="preserve"> year field </w:t>
            </w:r>
            <w:r w:rsidR="005431F7">
              <w:rPr>
                <w:rFonts w:ascii="Georgia" w:hAnsi="Georgia"/>
                <w:sz w:val="21"/>
                <w:szCs w:val="21"/>
              </w:rPr>
              <w:t xml:space="preserve">Ph.D. </w:t>
            </w:r>
            <w:r w:rsidRPr="00C20A1E">
              <w:rPr>
                <w:rFonts w:ascii="Georgia" w:hAnsi="Georgia"/>
                <w:sz w:val="21"/>
                <w:szCs w:val="21"/>
              </w:rPr>
              <w:t>course)</w:t>
            </w:r>
            <w:r w:rsidR="003000E2">
              <w:rPr>
                <w:rFonts w:ascii="Georgia" w:hAnsi="Georgia"/>
                <w:sz w:val="21"/>
                <w:szCs w:val="21"/>
              </w:rPr>
              <w:t>, CERGE-EI</w:t>
            </w:r>
          </w:p>
        </w:tc>
        <w:tc>
          <w:tcPr>
            <w:tcW w:w="1440" w:type="dxa"/>
            <w:gridSpan w:val="3"/>
          </w:tcPr>
          <w:p w14:paraId="1E103C48" w14:textId="77777777" w:rsidR="00F77CEB" w:rsidRPr="00C20A1E" w:rsidRDefault="00F77CEB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2019 - 2020</w:t>
            </w:r>
          </w:p>
        </w:tc>
      </w:tr>
      <w:tr w:rsidR="00F87470" w:rsidRPr="00C20A1E" w14:paraId="1E3FB3C6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0" w:type="dxa"/>
          <w:trHeight w:val="369"/>
        </w:trPr>
        <w:tc>
          <w:tcPr>
            <w:tcW w:w="8995" w:type="dxa"/>
            <w:gridSpan w:val="2"/>
          </w:tcPr>
          <w:p w14:paraId="2D32E48B" w14:textId="07DA6DB1" w:rsidR="00933989" w:rsidRPr="00C20A1E" w:rsidRDefault="00933989" w:rsidP="0076764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Teaching Assistant for Econometrics-1 (3</w:t>
            </w:r>
            <w:r w:rsidRPr="0017390A">
              <w:rPr>
                <w:rFonts w:ascii="Georgia" w:hAnsi="Georgia"/>
                <w:sz w:val="21"/>
                <w:szCs w:val="21"/>
                <w:vertAlign w:val="superscript"/>
              </w:rPr>
              <w:t>rd</w:t>
            </w:r>
            <w:r>
              <w:rPr>
                <w:rFonts w:ascii="Georgia" w:hAnsi="Georgia"/>
                <w:sz w:val="21"/>
                <w:szCs w:val="21"/>
              </w:rPr>
              <w:t xml:space="preserve"> year core B.A. course)</w:t>
            </w:r>
            <w:r w:rsidR="003000E2">
              <w:rPr>
                <w:rFonts w:ascii="Georgia" w:hAnsi="Georgia"/>
                <w:sz w:val="21"/>
                <w:szCs w:val="21"/>
              </w:rPr>
              <w:t>, HSE</w:t>
            </w:r>
          </w:p>
        </w:tc>
        <w:tc>
          <w:tcPr>
            <w:tcW w:w="1440" w:type="dxa"/>
            <w:gridSpan w:val="3"/>
          </w:tcPr>
          <w:p w14:paraId="14766CFC" w14:textId="77777777" w:rsidR="00F87470" w:rsidRPr="00C20A1E" w:rsidRDefault="00F87470" w:rsidP="0076764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2013</w:t>
            </w:r>
          </w:p>
        </w:tc>
      </w:tr>
      <w:tr w:rsidR="00F87470" w:rsidRPr="00C20A1E" w14:paraId="29654A4A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0" w:type="dxa"/>
          <w:trHeight w:val="900"/>
        </w:trPr>
        <w:tc>
          <w:tcPr>
            <w:tcW w:w="8995" w:type="dxa"/>
            <w:gridSpan w:val="2"/>
          </w:tcPr>
          <w:p w14:paraId="0CE07D90" w14:textId="178D4A63" w:rsidR="00933989" w:rsidRDefault="00933989" w:rsidP="00933989">
            <w:pPr>
              <w:rPr>
                <w:rFonts w:ascii="Georgia" w:hAnsi="Georgia"/>
                <w:sz w:val="21"/>
                <w:szCs w:val="21"/>
              </w:rPr>
            </w:pPr>
            <w:r w:rsidRPr="00F87470">
              <w:rPr>
                <w:rFonts w:ascii="Georgia" w:hAnsi="Georgia"/>
                <w:sz w:val="21"/>
                <w:szCs w:val="21"/>
              </w:rPr>
              <w:t>Research Assistant</w:t>
            </w:r>
          </w:p>
          <w:p w14:paraId="1B3DAD7E" w14:textId="77777777" w:rsidR="00F87470" w:rsidRPr="00F87470" w:rsidRDefault="00933989" w:rsidP="0076764E">
            <w:pPr>
              <w:rPr>
                <w:rFonts w:ascii="Georgia" w:hAnsi="Georgia"/>
                <w:sz w:val="21"/>
                <w:szCs w:val="21"/>
              </w:rPr>
            </w:pPr>
            <w:r w:rsidRPr="00F87470">
              <w:rPr>
                <w:rFonts w:ascii="Georgia" w:hAnsi="Georgia"/>
                <w:sz w:val="21"/>
                <w:szCs w:val="21"/>
              </w:rPr>
              <w:t>Centre for Market Studies and Spatial Economics</w:t>
            </w:r>
            <w:r>
              <w:rPr>
                <w:rFonts w:ascii="Georgia" w:hAnsi="Georgia"/>
                <w:sz w:val="21"/>
                <w:szCs w:val="21"/>
              </w:rPr>
              <w:t xml:space="preserve"> (</w:t>
            </w:r>
            <w:r w:rsidRPr="00245D81">
              <w:rPr>
                <w:rFonts w:ascii="Georgia" w:hAnsi="Georgia"/>
                <w:sz w:val="21"/>
                <w:szCs w:val="21"/>
              </w:rPr>
              <w:t>scientific supervisor –</w:t>
            </w:r>
            <w:r w:rsidR="00292DA5">
              <w:rPr>
                <w:rFonts w:ascii="Georgia" w:hAnsi="Georgia"/>
                <w:sz w:val="21"/>
                <w:szCs w:val="21"/>
              </w:rPr>
              <w:t xml:space="preserve"> </w:t>
            </w:r>
            <w:r w:rsidR="00292DA5" w:rsidRPr="00292DA5">
              <w:rPr>
                <w:rFonts w:ascii="Georgia" w:hAnsi="Georgia"/>
                <w:sz w:val="21"/>
                <w:szCs w:val="21"/>
              </w:rPr>
              <w:t>Jacques-François</w:t>
            </w:r>
            <w:r w:rsidR="00292DA5">
              <w:rPr>
                <w:rFonts w:ascii="Georgia" w:hAnsi="Georgia"/>
                <w:sz w:val="21"/>
                <w:szCs w:val="21"/>
              </w:rPr>
              <w:t xml:space="preserve"> </w:t>
            </w:r>
            <w:r w:rsidR="00292DA5" w:rsidRPr="00245D81">
              <w:rPr>
                <w:rFonts w:ascii="Georgia" w:hAnsi="Georgia"/>
                <w:sz w:val="21"/>
                <w:szCs w:val="21"/>
              </w:rPr>
              <w:t>Thisse</w:t>
            </w:r>
            <w:r w:rsidRPr="00245D81">
              <w:rPr>
                <w:rFonts w:ascii="Georgia" w:hAnsi="Georgia"/>
                <w:sz w:val="21"/>
                <w:szCs w:val="21"/>
              </w:rPr>
              <w:t>)</w:t>
            </w:r>
            <w:r>
              <w:rPr>
                <w:rFonts w:ascii="Georgia" w:hAnsi="Georgia"/>
                <w:sz w:val="21"/>
                <w:szCs w:val="21"/>
              </w:rPr>
              <w:t>, Moscow, Russia</w:t>
            </w:r>
          </w:p>
        </w:tc>
        <w:tc>
          <w:tcPr>
            <w:tcW w:w="1440" w:type="dxa"/>
            <w:gridSpan w:val="3"/>
          </w:tcPr>
          <w:p w14:paraId="28358CBF" w14:textId="77777777" w:rsidR="00F87470" w:rsidRDefault="00F87470" w:rsidP="0076764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201</w:t>
            </w:r>
            <w:r w:rsidR="00933989">
              <w:rPr>
                <w:rFonts w:ascii="Georgia" w:hAnsi="Georgia"/>
                <w:sz w:val="21"/>
                <w:szCs w:val="21"/>
              </w:rPr>
              <w:t>2 - 201</w:t>
            </w:r>
            <w:r>
              <w:rPr>
                <w:rFonts w:ascii="Georgia" w:hAnsi="Georgia"/>
                <w:sz w:val="21"/>
                <w:szCs w:val="21"/>
              </w:rPr>
              <w:t>3</w:t>
            </w:r>
          </w:p>
        </w:tc>
      </w:tr>
      <w:tr w:rsidR="00245D81" w:rsidRPr="00C20A1E" w14:paraId="77E20B19" w14:textId="77777777" w:rsidTr="007623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0" w:type="dxa"/>
          <w:trHeight w:val="1161"/>
        </w:trPr>
        <w:tc>
          <w:tcPr>
            <w:tcW w:w="8995" w:type="dxa"/>
            <w:gridSpan w:val="2"/>
          </w:tcPr>
          <w:p w14:paraId="2DDFB6A0" w14:textId="51496E24" w:rsidR="00245D81" w:rsidRDefault="00245D81" w:rsidP="0076764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Research Assistant</w:t>
            </w:r>
          </w:p>
          <w:p w14:paraId="65057821" w14:textId="73397A0E" w:rsidR="003C3922" w:rsidRDefault="00245D81" w:rsidP="0076764E">
            <w:pPr>
              <w:rPr>
                <w:rFonts w:ascii="Georgia" w:hAnsi="Georgia"/>
                <w:sz w:val="21"/>
                <w:szCs w:val="21"/>
              </w:rPr>
            </w:pPr>
            <w:r w:rsidRPr="00245D81">
              <w:rPr>
                <w:rFonts w:ascii="Georgia" w:hAnsi="Georgia"/>
                <w:sz w:val="21"/>
                <w:szCs w:val="21"/>
              </w:rPr>
              <w:t>Laboratory of Economic-Mathematical Research</w:t>
            </w:r>
            <w:r>
              <w:rPr>
                <w:rFonts w:ascii="Georgia" w:hAnsi="Georgia"/>
                <w:sz w:val="21"/>
                <w:szCs w:val="21"/>
              </w:rPr>
              <w:t xml:space="preserve"> (</w:t>
            </w:r>
            <w:r w:rsidRPr="00245D81">
              <w:rPr>
                <w:rFonts w:ascii="Georgia" w:hAnsi="Georgia"/>
                <w:sz w:val="21"/>
                <w:szCs w:val="21"/>
              </w:rPr>
              <w:t xml:space="preserve">scientific supervisor – </w:t>
            </w:r>
            <w:r>
              <w:rPr>
                <w:rFonts w:ascii="Georgia" w:hAnsi="Georgia"/>
                <w:sz w:val="21"/>
                <w:szCs w:val="21"/>
              </w:rPr>
              <w:t xml:space="preserve">Vladimir Matveenko), </w:t>
            </w:r>
            <w:r w:rsidR="003000E2">
              <w:rPr>
                <w:rFonts w:ascii="Georgia" w:hAnsi="Georgia"/>
                <w:sz w:val="21"/>
                <w:szCs w:val="21"/>
              </w:rPr>
              <w:t>Saint Petersburg</w:t>
            </w:r>
            <w:r>
              <w:rPr>
                <w:rFonts w:ascii="Georgia" w:hAnsi="Georgia"/>
                <w:sz w:val="21"/>
                <w:szCs w:val="21"/>
              </w:rPr>
              <w:t>, Russia</w:t>
            </w:r>
          </w:p>
        </w:tc>
        <w:tc>
          <w:tcPr>
            <w:tcW w:w="1440" w:type="dxa"/>
            <w:gridSpan w:val="3"/>
          </w:tcPr>
          <w:p w14:paraId="1DDE6554" w14:textId="77777777" w:rsidR="00245D81" w:rsidRDefault="00933989" w:rsidP="0076764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2011 - 2012</w:t>
            </w:r>
          </w:p>
        </w:tc>
      </w:tr>
      <w:tr w:rsidR="00FB08F2" w14:paraId="233512E0" w14:textId="77777777" w:rsidTr="0076238F">
        <w:trPr>
          <w:gridAfter w:val="1"/>
          <w:wAfter w:w="175" w:type="dxa"/>
        </w:trPr>
        <w:tc>
          <w:tcPr>
            <w:tcW w:w="10530" w:type="dxa"/>
            <w:gridSpan w:val="5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35D0B824" w14:textId="1DF733A3" w:rsidR="00FB08F2" w:rsidRDefault="001C24F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>
              <w:rPr>
                <w:rFonts w:ascii="Georgia" w:hAnsi="Georgia"/>
                <w:b/>
                <w:sz w:val="24"/>
                <w:szCs w:val="26"/>
              </w:rPr>
              <w:t>PRESENTATIONS</w:t>
            </w:r>
          </w:p>
        </w:tc>
      </w:tr>
    </w:tbl>
    <w:p w14:paraId="4621CE07" w14:textId="1E706BB8" w:rsidR="00C20A1E" w:rsidRDefault="00C20A1E" w:rsidP="00FB08F2">
      <w:pPr>
        <w:spacing w:before="240" w:after="0" w:line="360" w:lineRule="auto"/>
        <w:ind w:firstLine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>11</w:t>
      </w:r>
      <w:r w:rsidRPr="00C20A1E">
        <w:rPr>
          <w:rFonts w:ascii="Georgia" w:hAnsi="Georgia"/>
          <w:color w:val="0A0A0A"/>
          <w:sz w:val="16"/>
          <w:szCs w:val="16"/>
          <w:shd w:val="clear" w:color="auto" w:fill="FEFEFE"/>
          <w:vertAlign w:val="superscript"/>
        </w:rPr>
        <w:t>th</w:t>
      </w: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> Nordic Econometric</w:t>
      </w:r>
      <w:r w:rsidR="006B52C1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Meeting</w:t>
      </w: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>,</w:t>
      </w:r>
      <w:r w:rsidR="002A284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Aarhus University,</w:t>
      </w: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Denmark – Sep</w:t>
      </w:r>
      <w:r w:rsidR="00B75E02">
        <w:rPr>
          <w:rFonts w:ascii="Georgia" w:hAnsi="Georgia"/>
          <w:color w:val="0A0A0A"/>
          <w:sz w:val="21"/>
          <w:szCs w:val="21"/>
          <w:shd w:val="clear" w:color="auto" w:fill="FEFEFE"/>
        </w:rPr>
        <w:t>tember</w:t>
      </w: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 w:rsidR="00B75E02">
        <w:rPr>
          <w:rFonts w:ascii="Georgia" w:hAnsi="Georgia"/>
          <w:color w:val="0A0A0A"/>
          <w:sz w:val="21"/>
          <w:szCs w:val="21"/>
          <w:shd w:val="clear" w:color="auto" w:fill="FEFEFE"/>
        </w:rPr>
        <w:t>20</w:t>
      </w:r>
      <w:r w:rsidRPr="00C20A1E">
        <w:rPr>
          <w:rFonts w:ascii="Georgia" w:hAnsi="Georgia"/>
          <w:color w:val="0A0A0A"/>
          <w:sz w:val="21"/>
          <w:szCs w:val="21"/>
          <w:shd w:val="clear" w:color="auto" w:fill="FEFEFE"/>
        </w:rPr>
        <w:t>22</w:t>
      </w:r>
    </w:p>
    <w:p w14:paraId="19E9B44B" w14:textId="77777777" w:rsidR="00B75E02" w:rsidRDefault="00B75E02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24</w:t>
      </w:r>
      <w:r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th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International Conference on Computational Statistics</w:t>
      </w:r>
      <w:r w:rsidR="002A2842">
        <w:rPr>
          <w:rFonts w:ascii="Georgia" w:hAnsi="Georgia"/>
          <w:color w:val="0A0A0A"/>
          <w:sz w:val="21"/>
          <w:szCs w:val="21"/>
          <w:shd w:val="clear" w:color="auto" w:fill="FEFEFE"/>
        </w:rPr>
        <w:t>, University of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Bologna, Italy 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–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Aug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>ust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2022</w:t>
      </w:r>
    </w:p>
    <w:p w14:paraId="35B65B3E" w14:textId="0CB99045" w:rsidR="00B75E02" w:rsidRDefault="00B75E02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6</w:t>
      </w:r>
      <w:r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th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 w:rsidR="0064653D">
        <w:rPr>
          <w:rFonts w:ascii="Georgia" w:hAnsi="Georgia"/>
          <w:color w:val="0A0A0A"/>
          <w:sz w:val="21"/>
          <w:szCs w:val="21"/>
          <w:shd w:val="clear" w:color="auto" w:fill="FEFEFE"/>
        </w:rPr>
        <w:t>C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onference of the </w:t>
      </w:r>
      <w:hyperlink r:id="rId8" w:history="1">
        <w:r w:rsidRPr="00B75E02">
          <w:rPr>
            <w:rFonts w:ascii="Georgia" w:hAnsi="Georgia"/>
            <w:color w:val="0A0A0A"/>
            <w:sz w:val="21"/>
            <w:szCs w:val="21"/>
            <w:shd w:val="clear" w:color="auto" w:fill="FEFEFE"/>
          </w:rPr>
          <w:t xml:space="preserve">Deutsche </w:t>
        </w:r>
        <w:proofErr w:type="spellStart"/>
        <w:r w:rsidRPr="00B75E02">
          <w:rPr>
            <w:rFonts w:ascii="Georgia" w:hAnsi="Georgia"/>
            <w:color w:val="0A0A0A"/>
            <w:sz w:val="21"/>
            <w:szCs w:val="21"/>
            <w:shd w:val="clear" w:color="auto" w:fill="FEFEFE"/>
          </w:rPr>
          <w:t>Arbeitsgemeinschaft</w:t>
        </w:r>
        <w:proofErr w:type="spellEnd"/>
        <w:r w:rsidRPr="00B75E02">
          <w:rPr>
            <w:rFonts w:ascii="Georgia" w:hAnsi="Georgia"/>
            <w:color w:val="0A0A0A"/>
            <w:sz w:val="21"/>
            <w:szCs w:val="21"/>
            <w:shd w:val="clear" w:color="auto" w:fill="FEFEFE"/>
          </w:rPr>
          <w:t xml:space="preserve"> </w:t>
        </w:r>
        <w:proofErr w:type="spellStart"/>
        <w:r w:rsidRPr="00B75E02">
          <w:rPr>
            <w:rFonts w:ascii="Georgia" w:hAnsi="Georgia"/>
            <w:color w:val="0A0A0A"/>
            <w:sz w:val="21"/>
            <w:szCs w:val="21"/>
            <w:shd w:val="clear" w:color="auto" w:fill="FEFEFE"/>
          </w:rPr>
          <w:t>Statistik</w:t>
        </w:r>
        <w:proofErr w:type="spellEnd"/>
      </w:hyperlink>
      <w:r w:rsidR="002A284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, 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>Hamburg, Germany – March 2022</w:t>
      </w:r>
    </w:p>
    <w:p w14:paraId="35608643" w14:textId="0AA182F6" w:rsidR="00E864F0" w:rsidRDefault="00E864F0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>
        <w:rPr>
          <w:rFonts w:ascii="Georgia" w:hAnsi="Georgia"/>
          <w:color w:val="0A0A0A"/>
          <w:sz w:val="21"/>
          <w:szCs w:val="21"/>
          <w:shd w:val="clear" w:color="auto" w:fill="FEFEFE"/>
        </w:rPr>
        <w:t>10</w:t>
      </w:r>
      <w:r w:rsidRPr="00E864F0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th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Biennial Conference of the Czech Economic Society, Prague, Czech Republic – December 2020</w:t>
      </w:r>
    </w:p>
    <w:p w14:paraId="2FD723A1" w14:textId="77777777" w:rsidR="00B75E02" w:rsidRDefault="00B75E02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31</w:t>
      </w:r>
      <w:r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st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European Meeting of Statisticians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, 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University of Helsinki, Finland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–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 w:rsidRPr="00B75E02">
        <w:rPr>
          <w:rFonts w:ascii="Georgia" w:hAnsi="Georgia"/>
          <w:color w:val="0A0A0A"/>
          <w:sz w:val="21"/>
          <w:szCs w:val="21"/>
          <w:shd w:val="clear" w:color="auto" w:fill="FEFEFE"/>
        </w:rPr>
        <w:t>July 2017</w:t>
      </w:r>
    </w:p>
    <w:p w14:paraId="6B7EA39D" w14:textId="77777777" w:rsidR="00402E35" w:rsidRPr="00B75E02" w:rsidRDefault="00753B1C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>
        <w:rPr>
          <w:rFonts w:ascii="Georgia" w:hAnsi="Georgia"/>
          <w:color w:val="0A0A0A"/>
          <w:sz w:val="21"/>
          <w:szCs w:val="21"/>
          <w:shd w:val="clear" w:color="auto" w:fill="FEFEFE"/>
        </w:rPr>
        <w:t>15</w:t>
      </w:r>
      <w:r w:rsidR="00402E35"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th</w:t>
      </w:r>
      <w:r w:rsidR="00402E35" w:rsidRPr="00402E35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International April Conference</w:t>
      </w:r>
      <w:r w:rsidR="00402E35">
        <w:rPr>
          <w:rFonts w:ascii="Georgia" w:hAnsi="Georgia"/>
          <w:color w:val="0A0A0A"/>
          <w:sz w:val="21"/>
          <w:szCs w:val="21"/>
          <w:shd w:val="clear" w:color="auto" w:fill="FEFEFE"/>
        </w:rPr>
        <w:t>, Higher School of Economics, Moscow, Russia – April 2014</w:t>
      </w:r>
    </w:p>
    <w:p w14:paraId="7457ACDA" w14:textId="77777777" w:rsidR="00C20A1E" w:rsidRPr="00753B1C" w:rsidRDefault="00753B1C" w:rsidP="00FB08F2">
      <w:pPr>
        <w:spacing w:after="0"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 w:rsidRPr="00753B1C">
        <w:rPr>
          <w:rFonts w:ascii="Georgia" w:hAnsi="Georgia"/>
          <w:color w:val="0A0A0A"/>
          <w:sz w:val="21"/>
          <w:szCs w:val="21"/>
          <w:shd w:val="clear" w:color="auto" w:fill="FEFEFE"/>
        </w:rPr>
        <w:t>2</w:t>
      </w:r>
      <w:r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nd</w:t>
      </w:r>
      <w:r w:rsidRPr="00753B1C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Congress of the New Economic Association, Suzdal, Russia 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>- 2013</w:t>
      </w:r>
    </w:p>
    <w:p w14:paraId="628F19E9" w14:textId="4D2BFF14" w:rsidR="005B1092" w:rsidRPr="003D3848" w:rsidRDefault="00753B1C" w:rsidP="00FB08F2">
      <w:pPr>
        <w:spacing w:line="360" w:lineRule="auto"/>
        <w:ind w:left="360"/>
        <w:rPr>
          <w:rFonts w:ascii="Georgia" w:hAnsi="Georgia"/>
          <w:color w:val="0A0A0A"/>
          <w:sz w:val="21"/>
          <w:szCs w:val="21"/>
          <w:shd w:val="clear" w:color="auto" w:fill="FEFEFE"/>
        </w:rPr>
      </w:pPr>
      <w:r>
        <w:rPr>
          <w:rFonts w:ascii="Georgia" w:hAnsi="Georgia"/>
          <w:color w:val="0A0A0A"/>
          <w:sz w:val="21"/>
          <w:szCs w:val="21"/>
          <w:shd w:val="clear" w:color="auto" w:fill="FEFEFE"/>
        </w:rPr>
        <w:t>14</w:t>
      </w:r>
      <w:r w:rsidR="0064653D" w:rsidRPr="0064653D">
        <w:rPr>
          <w:rFonts w:ascii="Georgia" w:hAnsi="Georgia"/>
          <w:color w:val="0A0A0A"/>
          <w:sz w:val="21"/>
          <w:szCs w:val="21"/>
          <w:shd w:val="clear" w:color="auto" w:fill="FEFEFE"/>
          <w:vertAlign w:val="superscript"/>
        </w:rPr>
        <w:t>th</w:t>
      </w:r>
      <w:r w:rsidRPr="00753B1C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International April Conference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>, Higher School of Economics</w:t>
      </w:r>
      <w:r w:rsidRPr="00753B1C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, 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Moscow, Russia </w:t>
      </w:r>
      <w:r w:rsidR="00C232CE" w:rsidRPr="00C232CE">
        <w:rPr>
          <w:rFonts w:ascii="Georgia" w:hAnsi="Georgia"/>
          <w:color w:val="0A0A0A"/>
          <w:sz w:val="21"/>
          <w:szCs w:val="21"/>
          <w:shd w:val="clear" w:color="auto" w:fill="FEFEFE"/>
        </w:rPr>
        <w:t>–</w:t>
      </w:r>
      <w:r w:rsidR="00C232CE">
        <w:rPr>
          <w:rFonts w:ascii="Georgia" w:hAnsi="Georgia"/>
          <w:color w:val="0A0A0A"/>
          <w:sz w:val="21"/>
          <w:szCs w:val="21"/>
          <w:shd w:val="clear" w:color="auto" w:fill="FEFEFE"/>
        </w:rPr>
        <w:t xml:space="preserve"> </w:t>
      </w:r>
      <w:r>
        <w:rPr>
          <w:rFonts w:ascii="Georgia" w:hAnsi="Georgia"/>
          <w:color w:val="0A0A0A"/>
          <w:sz w:val="21"/>
          <w:szCs w:val="21"/>
          <w:shd w:val="clear" w:color="auto" w:fill="FEFEFE"/>
        </w:rPr>
        <w:t>April 2013</w:t>
      </w:r>
    </w:p>
    <w:tbl>
      <w:tblPr>
        <w:tblStyle w:val="TableGrid"/>
        <w:tblW w:w="10700" w:type="dxa"/>
        <w:tblLook w:val="04A0" w:firstRow="1" w:lastRow="0" w:firstColumn="1" w:lastColumn="0" w:noHBand="0" w:noVBand="1"/>
      </w:tblPr>
      <w:tblGrid>
        <w:gridCol w:w="265"/>
        <w:gridCol w:w="8995"/>
        <w:gridCol w:w="1270"/>
        <w:gridCol w:w="170"/>
      </w:tblGrid>
      <w:tr w:rsidR="00FB08F2" w14:paraId="41EB3583" w14:textId="77777777" w:rsidTr="00A03A83">
        <w:trPr>
          <w:gridAfter w:val="1"/>
          <w:wAfter w:w="170" w:type="dxa"/>
        </w:trPr>
        <w:tc>
          <w:tcPr>
            <w:tcW w:w="1053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26E1DD15" w14:textId="67600FE5" w:rsidR="00FB08F2" w:rsidRDefault="001C24F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 w:rsidRPr="00B75E02">
              <w:rPr>
                <w:rFonts w:ascii="Georgia" w:hAnsi="Georgia"/>
                <w:b/>
                <w:sz w:val="24"/>
                <w:szCs w:val="26"/>
              </w:rPr>
              <w:t>GRANTS, AWARD</w:t>
            </w:r>
            <w:r>
              <w:rPr>
                <w:rFonts w:ascii="Georgia" w:hAnsi="Georgia"/>
                <w:b/>
                <w:sz w:val="24"/>
                <w:szCs w:val="26"/>
              </w:rPr>
              <w:t>S, AND SCHOLARSHIPS</w:t>
            </w:r>
          </w:p>
        </w:tc>
      </w:tr>
      <w:tr w:rsidR="00F779CC" w:rsidRPr="00C20A1E" w14:paraId="199DE850" w14:textId="77777777" w:rsidTr="00A517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427"/>
        </w:trPr>
        <w:tc>
          <w:tcPr>
            <w:tcW w:w="8995" w:type="dxa"/>
          </w:tcPr>
          <w:p w14:paraId="3A0264C1" w14:textId="58167D96" w:rsidR="00F779CC" w:rsidRPr="008050AE" w:rsidRDefault="00F779CC" w:rsidP="00A517EF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 xml:space="preserve">Charles University Grant Agency (GA UK) Grant, </w:t>
            </w:r>
            <w:r w:rsidR="00DE6213" w:rsidRPr="00C20A1E">
              <w:rPr>
                <w:rFonts w:ascii="Georgia" w:hAnsi="Georgia"/>
                <w:sz w:val="21"/>
                <w:szCs w:val="21"/>
              </w:rPr>
              <w:t>P</w:t>
            </w:r>
            <w:r w:rsidRPr="00C20A1E">
              <w:rPr>
                <w:rFonts w:ascii="Georgia" w:hAnsi="Georgia"/>
                <w:sz w:val="21"/>
                <w:szCs w:val="21"/>
              </w:rPr>
              <w:t xml:space="preserve">rincipal </w:t>
            </w:r>
            <w:r w:rsidR="00DE6213" w:rsidRPr="00C20A1E">
              <w:rPr>
                <w:rFonts w:ascii="Georgia" w:hAnsi="Georgia"/>
                <w:sz w:val="21"/>
                <w:szCs w:val="21"/>
              </w:rPr>
              <w:t>I</w:t>
            </w:r>
            <w:r w:rsidRPr="00C20A1E">
              <w:rPr>
                <w:rFonts w:ascii="Georgia" w:hAnsi="Georgia"/>
                <w:sz w:val="21"/>
                <w:szCs w:val="21"/>
              </w:rPr>
              <w:t>nvestigator</w:t>
            </w:r>
          </w:p>
        </w:tc>
        <w:tc>
          <w:tcPr>
            <w:tcW w:w="1440" w:type="dxa"/>
            <w:gridSpan w:val="2"/>
          </w:tcPr>
          <w:p w14:paraId="08E022A6" w14:textId="2ED60C42" w:rsidR="00F779CC" w:rsidRPr="00C20A1E" w:rsidRDefault="00F779CC" w:rsidP="00FB08F2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</w:t>
            </w:r>
            <w:r w:rsidR="00093353">
              <w:rPr>
                <w:rFonts w:ascii="Georgia" w:hAnsi="Georgia"/>
                <w:sz w:val="21"/>
                <w:szCs w:val="21"/>
              </w:rPr>
              <w:t>20</w:t>
            </w:r>
            <w:r w:rsidRPr="00C20A1E">
              <w:rPr>
                <w:rFonts w:ascii="Georgia" w:hAnsi="Georgia"/>
                <w:sz w:val="21"/>
                <w:szCs w:val="21"/>
              </w:rPr>
              <w:t xml:space="preserve"> - 2022</w:t>
            </w:r>
          </w:p>
        </w:tc>
      </w:tr>
      <w:tr w:rsidR="00DE6213" w:rsidRPr="00C20A1E" w14:paraId="0E117D0C" w14:textId="77777777" w:rsidTr="00A517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486"/>
        </w:trPr>
        <w:tc>
          <w:tcPr>
            <w:tcW w:w="8995" w:type="dxa"/>
          </w:tcPr>
          <w:p w14:paraId="659E43BF" w14:textId="77777777" w:rsidR="006B52C1" w:rsidRPr="00FA6BA2" w:rsidRDefault="006B52C1" w:rsidP="00F779CC">
            <w:pPr>
              <w:rPr>
                <w:rFonts w:ascii="Georgia" w:hAnsi="Georgia"/>
                <w:sz w:val="12"/>
                <w:szCs w:val="21"/>
              </w:rPr>
            </w:pPr>
          </w:p>
          <w:p w14:paraId="6984B4E2" w14:textId="595FD5E6" w:rsidR="00DE6213" w:rsidRPr="008050AE" w:rsidRDefault="00DE6213" w:rsidP="00F779CC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>Performance Stipend</w:t>
            </w:r>
            <w:r w:rsidR="00A517EF">
              <w:rPr>
                <w:rFonts w:ascii="Georgia" w:hAnsi="Georgia"/>
                <w:sz w:val="21"/>
                <w:szCs w:val="21"/>
              </w:rPr>
              <w:t xml:space="preserve">, </w:t>
            </w:r>
            <w:r w:rsidR="007224DF" w:rsidRPr="008050AE">
              <w:rPr>
                <w:rFonts w:ascii="Georgia" w:hAnsi="Georgia"/>
                <w:sz w:val="21"/>
                <w:szCs w:val="21"/>
              </w:rPr>
              <w:t>CERGE-EI</w:t>
            </w: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018ECD35" w14:textId="77777777" w:rsidR="00FA6BA2" w:rsidRDefault="00FA6BA2" w:rsidP="0076764E">
            <w:pPr>
              <w:rPr>
                <w:rFonts w:ascii="Georgia" w:hAnsi="Georgia"/>
                <w:sz w:val="21"/>
                <w:szCs w:val="21"/>
              </w:rPr>
            </w:pPr>
          </w:p>
          <w:p w14:paraId="231C41B5" w14:textId="1F7FB6A6" w:rsidR="00DE6213" w:rsidRPr="00C20A1E" w:rsidRDefault="00DE6213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2017</w:t>
            </w:r>
          </w:p>
        </w:tc>
      </w:tr>
      <w:tr w:rsidR="00F779CC" w:rsidRPr="00C20A1E" w14:paraId="59AD8458" w14:textId="77777777" w:rsidTr="00CB5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1080"/>
        </w:trPr>
        <w:tc>
          <w:tcPr>
            <w:tcW w:w="8995" w:type="dxa"/>
          </w:tcPr>
          <w:p w14:paraId="5154E0A0" w14:textId="2A978C77" w:rsidR="000B7B29" w:rsidRPr="008050AE" w:rsidRDefault="000B7B29" w:rsidP="00CB5989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>Scholarships for the best academic</w:t>
            </w:r>
            <w:r w:rsidR="00C36769">
              <w:rPr>
                <w:rFonts w:ascii="Georgia" w:hAnsi="Georgia"/>
                <w:sz w:val="21"/>
                <w:szCs w:val="21"/>
              </w:rPr>
              <w:t xml:space="preserve"> results</w:t>
            </w:r>
            <w:r w:rsidR="00CB5989">
              <w:rPr>
                <w:rFonts w:ascii="Georgia" w:hAnsi="Georgia"/>
                <w:sz w:val="21"/>
                <w:szCs w:val="21"/>
              </w:rPr>
              <w:t xml:space="preserve">, </w:t>
            </w:r>
            <w:proofErr w:type="spellStart"/>
            <w:r w:rsidR="00CB5989">
              <w:rPr>
                <w:rFonts w:ascii="Georgia" w:hAnsi="Georgia"/>
                <w:sz w:val="21"/>
                <w:szCs w:val="21"/>
              </w:rPr>
              <w:t>EUSPb</w:t>
            </w:r>
            <w:proofErr w:type="spellEnd"/>
          </w:p>
          <w:p w14:paraId="403A486B" w14:textId="77777777" w:rsidR="000B7B29" w:rsidRPr="008050AE" w:rsidRDefault="00484612" w:rsidP="00DE000D">
            <w:pPr>
              <w:ind w:firstLine="529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&gt; </w:t>
            </w:r>
            <w:r w:rsidR="000B7B29" w:rsidRPr="008050AE">
              <w:rPr>
                <w:rFonts w:ascii="Georgia" w:hAnsi="Georgia"/>
                <w:sz w:val="21"/>
                <w:szCs w:val="21"/>
              </w:rPr>
              <w:t>Charity Fund for children and young people “</w:t>
            </w:r>
            <w:proofErr w:type="spellStart"/>
            <w:r w:rsidR="000B7B29" w:rsidRPr="008050AE">
              <w:rPr>
                <w:rFonts w:ascii="Georgia" w:hAnsi="Georgia"/>
                <w:sz w:val="21"/>
                <w:szCs w:val="21"/>
              </w:rPr>
              <w:t>Stupeni</w:t>
            </w:r>
            <w:proofErr w:type="spellEnd"/>
            <w:r w:rsidR="000B7B29" w:rsidRPr="008050AE">
              <w:rPr>
                <w:rFonts w:ascii="Georgia" w:hAnsi="Georgia"/>
                <w:sz w:val="21"/>
                <w:szCs w:val="21"/>
              </w:rPr>
              <w:t>”, Russia</w:t>
            </w:r>
          </w:p>
          <w:p w14:paraId="16F91919" w14:textId="77777777" w:rsidR="00DE000D" w:rsidRPr="008050AE" w:rsidRDefault="00484612" w:rsidP="00DE000D">
            <w:pPr>
              <w:ind w:firstLine="529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&gt; </w:t>
            </w:r>
            <w:r w:rsidR="00DE000D" w:rsidRPr="008050AE">
              <w:rPr>
                <w:rFonts w:ascii="Georgia" w:hAnsi="Georgia"/>
                <w:sz w:val="21"/>
                <w:szCs w:val="21"/>
              </w:rPr>
              <w:t xml:space="preserve">British Petroleum </w:t>
            </w:r>
          </w:p>
          <w:p w14:paraId="7CDFBEC7" w14:textId="046B3292" w:rsidR="00DE000D" w:rsidRPr="00FA6BA2" w:rsidRDefault="00484612" w:rsidP="00FA6BA2">
            <w:pPr>
              <w:ind w:firstLine="529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&gt; </w:t>
            </w:r>
            <w:r w:rsidR="00DE000D" w:rsidRPr="008050AE">
              <w:rPr>
                <w:rFonts w:ascii="Georgia" w:hAnsi="Georgia"/>
                <w:sz w:val="21"/>
                <w:szCs w:val="21"/>
              </w:rPr>
              <w:t xml:space="preserve">ExxonMobil </w:t>
            </w: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4F59AE13" w14:textId="77777777" w:rsidR="00DE000D" w:rsidRPr="00C20A1E" w:rsidRDefault="00DE000D" w:rsidP="0076764E">
            <w:pPr>
              <w:rPr>
                <w:rFonts w:ascii="Georgia" w:hAnsi="Georgia"/>
                <w:sz w:val="21"/>
                <w:szCs w:val="21"/>
              </w:rPr>
            </w:pPr>
          </w:p>
          <w:p w14:paraId="3E77FF4C" w14:textId="77777777" w:rsidR="00DE000D" w:rsidRPr="00C20A1E" w:rsidRDefault="00DE000D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2014 – 2015</w:t>
            </w:r>
          </w:p>
          <w:p w14:paraId="1C89CBC5" w14:textId="77777777" w:rsidR="00DE000D" w:rsidRPr="00C20A1E" w:rsidRDefault="00DE000D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2015</w:t>
            </w:r>
          </w:p>
          <w:p w14:paraId="6D5B1124" w14:textId="77777777" w:rsidR="00DE000D" w:rsidRPr="00C20A1E" w:rsidRDefault="00DE000D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2015</w:t>
            </w:r>
          </w:p>
        </w:tc>
      </w:tr>
      <w:tr w:rsidR="00F779CC" w:rsidRPr="00C20A1E" w14:paraId="0C53890D" w14:textId="77777777" w:rsidTr="00CB59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351"/>
        </w:trPr>
        <w:tc>
          <w:tcPr>
            <w:tcW w:w="8995" w:type="dxa"/>
          </w:tcPr>
          <w:p w14:paraId="50AD7F9D" w14:textId="3001A02D" w:rsidR="00F779CC" w:rsidRPr="008050AE" w:rsidRDefault="00F779CC" w:rsidP="0076764E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>Full Fee Waiver Scholarship and Individual Scholarship</w:t>
            </w:r>
            <w:r w:rsidR="00CB5989">
              <w:rPr>
                <w:rFonts w:ascii="Georgia" w:hAnsi="Georgia"/>
                <w:sz w:val="21"/>
                <w:szCs w:val="21"/>
              </w:rPr>
              <w:t xml:space="preserve">, </w:t>
            </w:r>
            <w:proofErr w:type="spellStart"/>
            <w:r w:rsidR="00CB5989">
              <w:rPr>
                <w:rFonts w:ascii="Georgia" w:hAnsi="Georgia"/>
                <w:sz w:val="21"/>
                <w:szCs w:val="21"/>
              </w:rPr>
              <w:t>EUSPb</w:t>
            </w:r>
            <w:proofErr w:type="spellEnd"/>
          </w:p>
        </w:tc>
        <w:tc>
          <w:tcPr>
            <w:tcW w:w="1440" w:type="dxa"/>
            <w:gridSpan w:val="2"/>
          </w:tcPr>
          <w:p w14:paraId="2B057B2F" w14:textId="77777777" w:rsidR="00F779CC" w:rsidRPr="00C20A1E" w:rsidRDefault="00F779CC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2013 - 2015</w:t>
            </w:r>
          </w:p>
        </w:tc>
      </w:tr>
      <w:tr w:rsidR="00E620A2" w:rsidRPr="00C20A1E" w14:paraId="72393A3B" w14:textId="77777777" w:rsidTr="00FA6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639"/>
        </w:trPr>
        <w:tc>
          <w:tcPr>
            <w:tcW w:w="8995" w:type="dxa"/>
          </w:tcPr>
          <w:p w14:paraId="7BBD7C6E" w14:textId="55174B77" w:rsidR="00E620A2" w:rsidRPr="008050AE" w:rsidRDefault="00E620A2" w:rsidP="0076764E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 xml:space="preserve">Winner of the competition “The </w:t>
            </w:r>
            <w:r w:rsidR="00C832F4" w:rsidRPr="008050AE">
              <w:rPr>
                <w:rFonts w:ascii="Georgia" w:hAnsi="Georgia"/>
                <w:sz w:val="21"/>
                <w:szCs w:val="21"/>
              </w:rPr>
              <w:t>B</w:t>
            </w:r>
            <w:r w:rsidRPr="008050AE">
              <w:rPr>
                <w:rFonts w:ascii="Georgia" w:hAnsi="Georgia"/>
                <w:sz w:val="21"/>
                <w:szCs w:val="21"/>
              </w:rPr>
              <w:t xml:space="preserve">est </w:t>
            </w:r>
            <w:r w:rsidR="00C832F4" w:rsidRPr="008050AE">
              <w:rPr>
                <w:rFonts w:ascii="Georgia" w:hAnsi="Georgia"/>
                <w:sz w:val="21"/>
                <w:szCs w:val="21"/>
              </w:rPr>
              <w:t>U</w:t>
            </w:r>
            <w:r w:rsidRPr="008050AE">
              <w:rPr>
                <w:rFonts w:ascii="Georgia" w:hAnsi="Georgia"/>
                <w:sz w:val="21"/>
                <w:szCs w:val="21"/>
              </w:rPr>
              <w:t xml:space="preserve">ndergraduate </w:t>
            </w:r>
            <w:r w:rsidR="00C832F4" w:rsidRPr="008050AE">
              <w:rPr>
                <w:rFonts w:ascii="Georgia" w:hAnsi="Georgia"/>
                <w:sz w:val="21"/>
                <w:szCs w:val="21"/>
              </w:rPr>
              <w:t>T</w:t>
            </w:r>
            <w:r w:rsidR="00F074B7" w:rsidRPr="008050AE">
              <w:rPr>
                <w:rFonts w:ascii="Georgia" w:hAnsi="Georgia"/>
                <w:sz w:val="21"/>
                <w:szCs w:val="21"/>
              </w:rPr>
              <w:t>hesis</w:t>
            </w:r>
            <w:r w:rsidRPr="008050AE">
              <w:rPr>
                <w:rFonts w:ascii="Georgia" w:hAnsi="Georgia"/>
                <w:sz w:val="21"/>
                <w:szCs w:val="21"/>
              </w:rPr>
              <w:t xml:space="preserve"> 2013”</w:t>
            </w:r>
            <w:r w:rsidR="00CB5989">
              <w:rPr>
                <w:rFonts w:ascii="Georgia" w:hAnsi="Georgia"/>
                <w:sz w:val="21"/>
                <w:szCs w:val="21"/>
              </w:rPr>
              <w:t>,</w:t>
            </w:r>
          </w:p>
          <w:p w14:paraId="2F5B7775" w14:textId="77777777" w:rsidR="00EA2A22" w:rsidRPr="008050AE" w:rsidRDefault="00EA2A22" w:rsidP="0076764E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>Gaidar Institute for Economic Policy, Russia</w:t>
            </w:r>
          </w:p>
        </w:tc>
        <w:tc>
          <w:tcPr>
            <w:tcW w:w="1440" w:type="dxa"/>
            <w:gridSpan w:val="2"/>
          </w:tcPr>
          <w:p w14:paraId="630281C4" w14:textId="77777777" w:rsidR="00E620A2" w:rsidRPr="00C20A1E" w:rsidRDefault="00EA2A22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2013</w:t>
            </w:r>
          </w:p>
        </w:tc>
      </w:tr>
      <w:tr w:rsidR="00CC3A6E" w:rsidRPr="00C20A1E" w14:paraId="176A7BCC" w14:textId="77777777" w:rsidTr="00FA6B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5" w:type="dxa"/>
          <w:trHeight w:val="621"/>
        </w:trPr>
        <w:tc>
          <w:tcPr>
            <w:tcW w:w="8995" w:type="dxa"/>
          </w:tcPr>
          <w:p w14:paraId="61FBC3C6" w14:textId="5ACB879A" w:rsidR="00CC3A6E" w:rsidRPr="008050AE" w:rsidRDefault="00CC3A6E" w:rsidP="0076764E">
            <w:pPr>
              <w:rPr>
                <w:rFonts w:ascii="Georgia" w:hAnsi="Georgia"/>
                <w:sz w:val="21"/>
                <w:szCs w:val="21"/>
              </w:rPr>
            </w:pPr>
            <w:r w:rsidRPr="008050AE">
              <w:rPr>
                <w:rFonts w:ascii="Georgia" w:hAnsi="Georgia"/>
                <w:sz w:val="21"/>
                <w:szCs w:val="21"/>
              </w:rPr>
              <w:t>Performance Stipend</w:t>
            </w:r>
            <w:r w:rsidR="00A517EF">
              <w:rPr>
                <w:rFonts w:ascii="Georgia" w:hAnsi="Georgia"/>
                <w:sz w:val="21"/>
                <w:szCs w:val="21"/>
              </w:rPr>
              <w:t xml:space="preserve">, </w:t>
            </w:r>
            <w:r w:rsidR="007224DF" w:rsidRPr="008050AE">
              <w:rPr>
                <w:rFonts w:ascii="Georgia" w:hAnsi="Georgia"/>
                <w:sz w:val="21"/>
                <w:szCs w:val="21"/>
              </w:rPr>
              <w:t>HSE</w:t>
            </w:r>
          </w:p>
        </w:tc>
        <w:tc>
          <w:tcPr>
            <w:tcW w:w="1440" w:type="dxa"/>
            <w:gridSpan w:val="2"/>
          </w:tcPr>
          <w:p w14:paraId="129273A0" w14:textId="77777777" w:rsidR="00CC3A6E" w:rsidRPr="00C20A1E" w:rsidRDefault="00CC3A6E" w:rsidP="0076764E">
            <w:pPr>
              <w:rPr>
                <w:rFonts w:ascii="Georgia" w:hAnsi="Georgia"/>
                <w:sz w:val="21"/>
                <w:szCs w:val="21"/>
              </w:rPr>
            </w:pPr>
            <w:r w:rsidRPr="00C20A1E">
              <w:rPr>
                <w:rFonts w:ascii="Georgia" w:hAnsi="Georgia"/>
                <w:sz w:val="21"/>
                <w:szCs w:val="21"/>
              </w:rPr>
              <w:t>2010 - 2013</w:t>
            </w:r>
          </w:p>
        </w:tc>
      </w:tr>
      <w:tr w:rsidR="00FB08F2" w14:paraId="2BCD814B" w14:textId="77777777" w:rsidTr="00A03A83">
        <w:trPr>
          <w:gridAfter w:val="1"/>
          <w:wAfter w:w="170" w:type="dxa"/>
        </w:trPr>
        <w:tc>
          <w:tcPr>
            <w:tcW w:w="1053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6B1BFD33" w14:textId="424AE7FE" w:rsidR="00FB08F2" w:rsidRDefault="001C24F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 w:rsidRPr="00B75E02">
              <w:rPr>
                <w:rFonts w:ascii="Georgia" w:hAnsi="Georgia"/>
                <w:b/>
                <w:sz w:val="24"/>
                <w:szCs w:val="26"/>
              </w:rPr>
              <w:t>OTHER TRAINING</w:t>
            </w:r>
          </w:p>
        </w:tc>
      </w:tr>
    </w:tbl>
    <w:p w14:paraId="4DFAD4A4" w14:textId="074D850E" w:rsidR="00E864F0" w:rsidRDefault="00E864F0" w:rsidP="00CB5989">
      <w:pPr>
        <w:spacing w:before="240" w:after="0" w:line="360" w:lineRule="auto"/>
        <w:ind w:left="990" w:hanging="630"/>
        <w:rPr>
          <w:rFonts w:ascii="Georgia" w:hAnsi="Georgia"/>
          <w:sz w:val="21"/>
          <w:szCs w:val="21"/>
        </w:rPr>
      </w:pPr>
      <w:r w:rsidRPr="00E864F0">
        <w:rPr>
          <w:rFonts w:ascii="Georgia" w:hAnsi="Georgia"/>
          <w:sz w:val="21"/>
          <w:szCs w:val="21"/>
        </w:rPr>
        <w:t xml:space="preserve">14th Advanced Summer School </w:t>
      </w:r>
      <w:r>
        <w:rPr>
          <w:rFonts w:ascii="Georgia" w:hAnsi="Georgia"/>
          <w:sz w:val="21"/>
          <w:szCs w:val="21"/>
        </w:rPr>
        <w:t>i</w:t>
      </w:r>
      <w:r w:rsidRPr="00E864F0">
        <w:rPr>
          <w:rFonts w:ascii="Georgia" w:hAnsi="Georgia"/>
          <w:sz w:val="21"/>
          <w:szCs w:val="21"/>
        </w:rPr>
        <w:t xml:space="preserve">n Economics </w:t>
      </w:r>
      <w:r>
        <w:rPr>
          <w:rFonts w:ascii="Georgia" w:hAnsi="Georgia"/>
          <w:sz w:val="21"/>
          <w:szCs w:val="21"/>
        </w:rPr>
        <w:t>a</w:t>
      </w:r>
      <w:r w:rsidRPr="00E864F0">
        <w:rPr>
          <w:rFonts w:ascii="Georgia" w:hAnsi="Georgia"/>
          <w:sz w:val="21"/>
          <w:szCs w:val="21"/>
        </w:rPr>
        <w:t>nd Econometrics</w:t>
      </w:r>
      <w:r>
        <w:rPr>
          <w:rFonts w:ascii="Georgia" w:hAnsi="Georgia"/>
          <w:sz w:val="21"/>
          <w:szCs w:val="21"/>
        </w:rPr>
        <w:t>, “</w:t>
      </w:r>
      <w:r w:rsidRPr="00E864F0">
        <w:rPr>
          <w:rFonts w:ascii="Georgia" w:hAnsi="Georgia"/>
          <w:sz w:val="21"/>
          <w:szCs w:val="21"/>
        </w:rPr>
        <w:t>Model Selection and Averaging in Econometrics</w:t>
      </w:r>
      <w:r>
        <w:rPr>
          <w:rFonts w:ascii="Georgia" w:hAnsi="Georgia"/>
          <w:sz w:val="21"/>
          <w:szCs w:val="21"/>
        </w:rPr>
        <w:t>” by Bruce Hansen, University of Crete, Greece, 2019</w:t>
      </w:r>
    </w:p>
    <w:p w14:paraId="05E5E627" w14:textId="79AF1D0F" w:rsidR="00BA3F99" w:rsidRDefault="009D04D5" w:rsidP="00CB5989">
      <w:pPr>
        <w:spacing w:after="0" w:line="360" w:lineRule="auto"/>
        <w:ind w:left="990" w:hanging="630"/>
        <w:rPr>
          <w:rFonts w:ascii="Georgia" w:hAnsi="Georgia"/>
          <w:sz w:val="21"/>
          <w:szCs w:val="21"/>
        </w:rPr>
      </w:pPr>
      <w:r w:rsidRPr="009D04D5">
        <w:rPr>
          <w:rFonts w:ascii="Georgia" w:hAnsi="Georgia"/>
          <w:sz w:val="21"/>
          <w:szCs w:val="21"/>
        </w:rPr>
        <w:t xml:space="preserve">Workshop “Model Selection, Regularization, and Inference”, Vienna University, </w:t>
      </w:r>
      <w:r w:rsidR="00402E35">
        <w:rPr>
          <w:rFonts w:ascii="Georgia" w:hAnsi="Georgia"/>
          <w:sz w:val="21"/>
          <w:szCs w:val="21"/>
        </w:rPr>
        <w:t xml:space="preserve">Austria, </w:t>
      </w:r>
      <w:r w:rsidRPr="009D04D5">
        <w:rPr>
          <w:rFonts w:ascii="Georgia" w:hAnsi="Georgia"/>
          <w:sz w:val="21"/>
          <w:szCs w:val="21"/>
        </w:rPr>
        <w:t>2018</w:t>
      </w:r>
    </w:p>
    <w:p w14:paraId="5FBB19B8" w14:textId="77777777" w:rsidR="00402E35" w:rsidRDefault="00402E35" w:rsidP="00CB5989">
      <w:pPr>
        <w:spacing w:after="0" w:line="360" w:lineRule="auto"/>
        <w:ind w:left="990" w:hanging="630"/>
        <w:rPr>
          <w:rFonts w:ascii="Georgia" w:hAnsi="Georgia"/>
          <w:sz w:val="21"/>
          <w:szCs w:val="21"/>
        </w:rPr>
      </w:pPr>
      <w:r w:rsidRPr="00402E35">
        <w:rPr>
          <w:rFonts w:ascii="Georgia" w:hAnsi="Georgia"/>
          <w:sz w:val="21"/>
          <w:szCs w:val="21"/>
        </w:rPr>
        <w:lastRenderedPageBreak/>
        <w:t>Advanced course “International Trade” by Peter Neary</w:t>
      </w:r>
      <w:r>
        <w:rPr>
          <w:rFonts w:ascii="Georgia" w:hAnsi="Georgia"/>
          <w:sz w:val="21"/>
          <w:szCs w:val="21"/>
        </w:rPr>
        <w:t xml:space="preserve">, Higher School of Economics, </w:t>
      </w:r>
      <w:r w:rsidRPr="00402E35">
        <w:rPr>
          <w:rFonts w:ascii="Georgia" w:hAnsi="Georgia"/>
          <w:sz w:val="21"/>
          <w:szCs w:val="21"/>
        </w:rPr>
        <w:t>Moscow, R</w:t>
      </w:r>
      <w:r>
        <w:rPr>
          <w:rFonts w:ascii="Georgia" w:hAnsi="Georgia"/>
          <w:sz w:val="21"/>
          <w:szCs w:val="21"/>
        </w:rPr>
        <w:t>ussia</w:t>
      </w:r>
      <w:r w:rsidR="001A360B">
        <w:rPr>
          <w:rFonts w:ascii="Georgia" w:hAnsi="Georgia"/>
          <w:sz w:val="21"/>
          <w:szCs w:val="21"/>
        </w:rPr>
        <w:t>, 2013</w:t>
      </w:r>
    </w:p>
    <w:p w14:paraId="6B0BEA50" w14:textId="04750D7C" w:rsidR="00FB08F2" w:rsidRDefault="001A360B" w:rsidP="00CB5989">
      <w:pPr>
        <w:spacing w:line="360" w:lineRule="auto"/>
        <w:ind w:left="990" w:hanging="630"/>
        <w:rPr>
          <w:rFonts w:ascii="Georgia" w:hAnsi="Georgia"/>
          <w:sz w:val="21"/>
          <w:szCs w:val="21"/>
        </w:rPr>
      </w:pPr>
      <w:r w:rsidRPr="001A360B">
        <w:rPr>
          <w:rFonts w:ascii="Georgia" w:hAnsi="Georgia"/>
          <w:sz w:val="21"/>
          <w:szCs w:val="21"/>
        </w:rPr>
        <w:t>Summer School of the London School of Economics, “IO and Introduction to Competition Policy”</w:t>
      </w:r>
      <w:r>
        <w:rPr>
          <w:rFonts w:ascii="Georgia" w:hAnsi="Georgia"/>
          <w:sz w:val="21"/>
          <w:szCs w:val="21"/>
        </w:rPr>
        <w:t>, London,</w:t>
      </w:r>
      <w:r w:rsidRPr="001A360B">
        <w:rPr>
          <w:rFonts w:ascii="Georgia" w:hAnsi="Georgia"/>
          <w:sz w:val="21"/>
          <w:szCs w:val="21"/>
        </w:rPr>
        <w:t xml:space="preserve"> UK</w:t>
      </w:r>
      <w:r w:rsidR="006B52C1">
        <w:rPr>
          <w:rFonts w:ascii="Georgia" w:hAnsi="Georgia"/>
          <w:sz w:val="21"/>
          <w:szCs w:val="21"/>
        </w:rPr>
        <w:t>, 2013</w:t>
      </w:r>
    </w:p>
    <w:p w14:paraId="7CE4CE99" w14:textId="77777777" w:rsidR="00EC782E" w:rsidRPr="00EC782E" w:rsidRDefault="00EC782E" w:rsidP="00EC782E">
      <w:pPr>
        <w:spacing w:after="0" w:line="240" w:lineRule="auto"/>
        <w:rPr>
          <w:rFonts w:ascii="Georgia" w:hAnsi="Georgia"/>
          <w:b/>
          <w:sz w:val="24"/>
          <w:szCs w:val="26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260"/>
        <w:gridCol w:w="4698"/>
        <w:gridCol w:w="5572"/>
      </w:tblGrid>
      <w:tr w:rsidR="00EC782E" w14:paraId="3D9D024F" w14:textId="77777777" w:rsidTr="00EC782E">
        <w:tc>
          <w:tcPr>
            <w:tcW w:w="10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5D945" w14:textId="77F7B58B" w:rsidR="00EC782E" w:rsidRPr="00CD599B" w:rsidRDefault="00EC782E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>
              <w:rPr>
                <w:rFonts w:ascii="Georgia" w:hAnsi="Georgia"/>
                <w:b/>
                <w:sz w:val="24"/>
                <w:szCs w:val="26"/>
              </w:rPr>
              <w:t>TECH SKILLS</w:t>
            </w:r>
          </w:p>
        </w:tc>
      </w:tr>
      <w:tr w:rsidR="00EC782E" w14:paraId="1B085829" w14:textId="77777777" w:rsidTr="00EC782E">
        <w:tc>
          <w:tcPr>
            <w:tcW w:w="105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838CF" w14:textId="1634AC4B" w:rsidR="00EC782E" w:rsidRPr="00EC782E" w:rsidRDefault="00EC782E" w:rsidP="00EC782E">
            <w:pPr>
              <w:spacing w:before="240"/>
              <w:ind w:left="255"/>
              <w:rPr>
                <w:rFonts w:ascii="Georgia" w:hAnsi="Georgia"/>
                <w:sz w:val="21"/>
                <w:szCs w:val="21"/>
              </w:rPr>
            </w:pPr>
            <w:proofErr w:type="spellStart"/>
            <w:r w:rsidRPr="00EC782E">
              <w:rPr>
                <w:rFonts w:ascii="Georgia" w:hAnsi="Georgia"/>
                <w:sz w:val="21"/>
                <w:szCs w:val="21"/>
              </w:rPr>
              <w:t>Matlab</w:t>
            </w:r>
            <w:proofErr w:type="spellEnd"/>
            <w:r w:rsidRPr="00EC782E">
              <w:rPr>
                <w:rFonts w:ascii="Georgia" w:hAnsi="Georgia"/>
                <w:sz w:val="21"/>
                <w:szCs w:val="21"/>
              </w:rPr>
              <w:t>, Python, Stata, Wolfram Mathematics</w:t>
            </w:r>
          </w:p>
        </w:tc>
      </w:tr>
      <w:tr w:rsidR="00EC782E" w14:paraId="5BAB7CB2" w14:textId="77777777" w:rsidTr="00EC782E"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953A9" w14:textId="77777777" w:rsidR="00EC782E" w:rsidRPr="00CD599B" w:rsidRDefault="00EC782E" w:rsidP="005B1092">
            <w:pPr>
              <w:rPr>
                <w:rFonts w:ascii="Georgia" w:hAnsi="Georgia"/>
                <w:b/>
                <w:sz w:val="24"/>
                <w:szCs w:val="26"/>
              </w:rPr>
            </w:pPr>
          </w:p>
        </w:tc>
      </w:tr>
      <w:tr w:rsidR="00FB08F2" w14:paraId="152678DA" w14:textId="77777777" w:rsidTr="00EC782E">
        <w:tc>
          <w:tcPr>
            <w:tcW w:w="1053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14:paraId="4328F407" w14:textId="3CC0958E" w:rsidR="00FB08F2" w:rsidRDefault="001C24F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r w:rsidRPr="00CD599B">
              <w:rPr>
                <w:rFonts w:ascii="Georgia" w:hAnsi="Georgia"/>
                <w:b/>
                <w:sz w:val="24"/>
                <w:szCs w:val="26"/>
              </w:rPr>
              <w:t>REFERENCES</w:t>
            </w:r>
          </w:p>
        </w:tc>
      </w:tr>
      <w:tr w:rsidR="00487B0F" w14:paraId="71134BA9" w14:textId="77777777" w:rsidTr="00A03A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0" w:type="dxa"/>
          <w:trHeight w:val="575"/>
        </w:trPr>
        <w:tc>
          <w:tcPr>
            <w:tcW w:w="4698" w:type="dxa"/>
          </w:tcPr>
          <w:p w14:paraId="1137FCF3" w14:textId="1EEE7F23" w:rsidR="001C24FF" w:rsidRDefault="00782FB4" w:rsidP="00FB08F2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Professor </w:t>
            </w:r>
            <w:r w:rsidR="00487B0F" w:rsidRPr="00EC782E">
              <w:rPr>
                <w:rFonts w:ascii="Georgia" w:hAnsi="Georgia"/>
                <w:b/>
                <w:sz w:val="21"/>
                <w:szCs w:val="21"/>
              </w:rPr>
              <w:t xml:space="preserve">Stepan </w:t>
            </w:r>
            <w:proofErr w:type="spellStart"/>
            <w:r w:rsidR="00487B0F" w:rsidRPr="00EC782E">
              <w:rPr>
                <w:rFonts w:ascii="Georgia" w:hAnsi="Georgia"/>
                <w:b/>
                <w:sz w:val="21"/>
                <w:szCs w:val="21"/>
              </w:rPr>
              <w:t>Jurajda</w:t>
            </w:r>
            <w:proofErr w:type="spellEnd"/>
          </w:p>
          <w:p w14:paraId="29073432" w14:textId="77777777" w:rsidR="00EC782E" w:rsidRPr="00EC782E" w:rsidRDefault="00782FB4" w:rsidP="00EC782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CERGE-EI</w:t>
            </w:r>
            <w:r w:rsidR="00EC782E">
              <w:rPr>
                <w:rFonts w:ascii="Georgia" w:hAnsi="Georgia"/>
                <w:sz w:val="21"/>
                <w:szCs w:val="21"/>
              </w:rPr>
              <w:t xml:space="preserve">, </w:t>
            </w:r>
            <w:proofErr w:type="spellStart"/>
            <w:r w:rsidR="00EC782E" w:rsidRPr="00EC782E">
              <w:rPr>
                <w:rFonts w:ascii="Georgia" w:hAnsi="Georgia"/>
                <w:sz w:val="21"/>
                <w:szCs w:val="21"/>
              </w:rPr>
              <w:t>Politických</w:t>
            </w:r>
            <w:proofErr w:type="spellEnd"/>
            <w:r w:rsidR="00EC782E" w:rsidRPr="00EC782E">
              <w:rPr>
                <w:rFonts w:ascii="Georgia" w:hAnsi="Georgia"/>
                <w:sz w:val="21"/>
                <w:szCs w:val="21"/>
              </w:rPr>
              <w:t xml:space="preserve"> </w:t>
            </w:r>
            <w:proofErr w:type="spellStart"/>
            <w:r w:rsidR="00EC782E" w:rsidRPr="00EC782E">
              <w:rPr>
                <w:rFonts w:ascii="Georgia" w:hAnsi="Georgia"/>
                <w:sz w:val="21"/>
                <w:szCs w:val="21"/>
              </w:rPr>
              <w:t>vězňů</w:t>
            </w:r>
            <w:proofErr w:type="spellEnd"/>
            <w:r w:rsidR="00EC782E" w:rsidRPr="00EC782E">
              <w:rPr>
                <w:rFonts w:ascii="Georgia" w:hAnsi="Georgia"/>
                <w:sz w:val="21"/>
                <w:szCs w:val="21"/>
              </w:rPr>
              <w:t xml:space="preserve"> 7</w:t>
            </w:r>
          </w:p>
          <w:p w14:paraId="3E9028E6" w14:textId="79518A96" w:rsidR="00782FB4" w:rsidRDefault="00EC782E" w:rsidP="00EC782E">
            <w:pPr>
              <w:rPr>
                <w:rFonts w:ascii="Georgia" w:hAnsi="Georgia"/>
                <w:sz w:val="21"/>
                <w:szCs w:val="21"/>
              </w:rPr>
            </w:pPr>
            <w:r w:rsidRPr="00EC782E">
              <w:rPr>
                <w:rFonts w:ascii="Georgia" w:hAnsi="Georgia"/>
                <w:sz w:val="21"/>
                <w:szCs w:val="21"/>
              </w:rPr>
              <w:t>111 21 Prague 1</w:t>
            </w:r>
            <w:r>
              <w:rPr>
                <w:rFonts w:ascii="Georgia" w:hAnsi="Georgia"/>
                <w:sz w:val="21"/>
                <w:szCs w:val="21"/>
              </w:rPr>
              <w:t xml:space="preserve">, </w:t>
            </w:r>
            <w:r w:rsidRPr="00EC782E">
              <w:rPr>
                <w:rFonts w:ascii="Georgia" w:hAnsi="Georgia"/>
                <w:sz w:val="21"/>
                <w:szCs w:val="21"/>
              </w:rPr>
              <w:t>Czech Republic</w:t>
            </w:r>
          </w:p>
          <w:p w14:paraId="4202C367" w14:textId="09714853" w:rsidR="00487B0F" w:rsidRDefault="00487B0F" w:rsidP="00487B0F">
            <w:pPr>
              <w:rPr>
                <w:rFonts w:ascii="Georgia" w:hAnsi="Georgia"/>
                <w:b/>
                <w:sz w:val="24"/>
                <w:szCs w:val="26"/>
              </w:rPr>
            </w:pPr>
            <w:hyperlink r:id="rId9" w:history="1">
              <w:r w:rsidRPr="00B44504">
                <w:rPr>
                  <w:rStyle w:val="Hyperlink"/>
                  <w:rFonts w:ascii="Georgia" w:hAnsi="Georgia"/>
                  <w:color w:val="2E74B5" w:themeColor="accent5" w:themeShade="BF"/>
                  <w:sz w:val="21"/>
                  <w:szCs w:val="21"/>
                </w:rPr>
                <w:t>stepan.jurajda@cerge-ei.cz</w:t>
              </w:r>
            </w:hyperlink>
          </w:p>
        </w:tc>
        <w:tc>
          <w:tcPr>
            <w:tcW w:w="5572" w:type="dxa"/>
          </w:tcPr>
          <w:p w14:paraId="7F0F3023" w14:textId="7CB9D4FC" w:rsidR="00487B0F" w:rsidRDefault="00782FB4" w:rsidP="00FB08F2">
            <w:pPr>
              <w:spacing w:before="240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Professor </w:t>
            </w:r>
            <w:r w:rsidR="00487B0F" w:rsidRPr="00EC782E">
              <w:rPr>
                <w:rFonts w:ascii="Georgia" w:hAnsi="Georgia"/>
                <w:b/>
                <w:sz w:val="21"/>
                <w:szCs w:val="21"/>
              </w:rPr>
              <w:t>Veronika Selezneva</w:t>
            </w:r>
          </w:p>
          <w:p w14:paraId="272AFC86" w14:textId="77777777" w:rsidR="00EC782E" w:rsidRPr="00EC782E" w:rsidRDefault="00782FB4" w:rsidP="00EC782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CERGE-EI</w:t>
            </w:r>
            <w:r w:rsidR="00EC782E">
              <w:rPr>
                <w:rFonts w:ascii="Georgia" w:hAnsi="Georgia"/>
                <w:sz w:val="21"/>
                <w:szCs w:val="21"/>
              </w:rPr>
              <w:t xml:space="preserve">, </w:t>
            </w:r>
            <w:proofErr w:type="spellStart"/>
            <w:r w:rsidR="00EC782E" w:rsidRPr="00EC782E">
              <w:rPr>
                <w:rFonts w:ascii="Georgia" w:hAnsi="Georgia"/>
                <w:sz w:val="21"/>
                <w:szCs w:val="21"/>
              </w:rPr>
              <w:t>Politických</w:t>
            </w:r>
            <w:proofErr w:type="spellEnd"/>
            <w:r w:rsidR="00EC782E" w:rsidRPr="00EC782E">
              <w:rPr>
                <w:rFonts w:ascii="Georgia" w:hAnsi="Georgia"/>
                <w:sz w:val="21"/>
                <w:szCs w:val="21"/>
              </w:rPr>
              <w:t xml:space="preserve"> </w:t>
            </w:r>
            <w:proofErr w:type="spellStart"/>
            <w:r w:rsidR="00EC782E" w:rsidRPr="00EC782E">
              <w:rPr>
                <w:rFonts w:ascii="Georgia" w:hAnsi="Georgia"/>
                <w:sz w:val="21"/>
                <w:szCs w:val="21"/>
              </w:rPr>
              <w:t>vězňů</w:t>
            </w:r>
            <w:proofErr w:type="spellEnd"/>
            <w:r w:rsidR="00EC782E" w:rsidRPr="00EC782E">
              <w:rPr>
                <w:rFonts w:ascii="Georgia" w:hAnsi="Georgia"/>
                <w:sz w:val="21"/>
                <w:szCs w:val="21"/>
              </w:rPr>
              <w:t xml:space="preserve"> 7</w:t>
            </w:r>
          </w:p>
          <w:p w14:paraId="002CC13C" w14:textId="64F1FD83" w:rsidR="00782FB4" w:rsidRPr="00487B0F" w:rsidRDefault="00EC782E" w:rsidP="00EC782E">
            <w:pPr>
              <w:rPr>
                <w:rFonts w:ascii="Georgia" w:hAnsi="Georgia"/>
                <w:sz w:val="21"/>
                <w:szCs w:val="21"/>
              </w:rPr>
            </w:pPr>
            <w:r w:rsidRPr="00EC782E">
              <w:rPr>
                <w:rFonts w:ascii="Georgia" w:hAnsi="Georgia"/>
                <w:sz w:val="21"/>
                <w:szCs w:val="21"/>
              </w:rPr>
              <w:t>111 21 Prague 1</w:t>
            </w:r>
            <w:r>
              <w:rPr>
                <w:rFonts w:ascii="Georgia" w:hAnsi="Georgia"/>
                <w:sz w:val="21"/>
                <w:szCs w:val="21"/>
              </w:rPr>
              <w:t xml:space="preserve">, </w:t>
            </w:r>
            <w:r w:rsidRPr="00EC782E">
              <w:rPr>
                <w:rFonts w:ascii="Georgia" w:hAnsi="Georgia"/>
                <w:sz w:val="21"/>
                <w:szCs w:val="21"/>
              </w:rPr>
              <w:t>Czech Republic</w:t>
            </w:r>
          </w:p>
          <w:p w14:paraId="04B6BA3C" w14:textId="0568229E" w:rsidR="00487B0F" w:rsidRPr="00487B0F" w:rsidRDefault="00487B0F" w:rsidP="005B1092">
            <w:pPr>
              <w:rPr>
                <w:rFonts w:ascii="Georgia" w:hAnsi="Georgia"/>
                <w:sz w:val="21"/>
                <w:szCs w:val="21"/>
              </w:rPr>
            </w:pPr>
            <w:hyperlink r:id="rId10" w:history="1">
              <w:r w:rsidRPr="00B44504">
                <w:rPr>
                  <w:rStyle w:val="Hyperlink"/>
                  <w:rFonts w:ascii="Georgia" w:hAnsi="Georgia"/>
                  <w:color w:val="2E74B5" w:themeColor="accent5" w:themeShade="BF"/>
                  <w:sz w:val="21"/>
                  <w:szCs w:val="21"/>
                </w:rPr>
                <w:t>veronika.selezneva@cerge-ei.cz</w:t>
              </w:r>
            </w:hyperlink>
          </w:p>
        </w:tc>
      </w:tr>
      <w:tr w:rsidR="00487B0F" w14:paraId="64828ABC" w14:textId="77777777" w:rsidTr="00A03A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0" w:type="dxa"/>
        </w:trPr>
        <w:tc>
          <w:tcPr>
            <w:tcW w:w="4698" w:type="dxa"/>
          </w:tcPr>
          <w:p w14:paraId="0C4A979F" w14:textId="77777777" w:rsidR="00487B0F" w:rsidRDefault="00487B0F" w:rsidP="005B1092">
            <w:pPr>
              <w:rPr>
                <w:rFonts w:ascii="Georgia" w:hAnsi="Georgia"/>
                <w:b/>
                <w:sz w:val="24"/>
                <w:szCs w:val="26"/>
              </w:rPr>
            </w:pPr>
          </w:p>
          <w:p w14:paraId="24A760BE" w14:textId="02B30E86" w:rsidR="00487B0F" w:rsidRDefault="00782FB4" w:rsidP="005B1092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Professor </w:t>
            </w:r>
            <w:r w:rsidR="00487B0F" w:rsidRPr="00EC782E">
              <w:rPr>
                <w:rFonts w:ascii="Georgia" w:hAnsi="Georgia"/>
                <w:b/>
                <w:sz w:val="21"/>
                <w:szCs w:val="21"/>
              </w:rPr>
              <w:t xml:space="preserve">Stanislav </w:t>
            </w:r>
            <w:proofErr w:type="spellStart"/>
            <w:r w:rsidR="00487B0F" w:rsidRPr="00EC782E">
              <w:rPr>
                <w:rFonts w:ascii="Georgia" w:hAnsi="Georgia"/>
                <w:b/>
                <w:sz w:val="21"/>
                <w:szCs w:val="21"/>
              </w:rPr>
              <w:t>Anatolyev</w:t>
            </w:r>
            <w:proofErr w:type="spellEnd"/>
          </w:p>
          <w:p w14:paraId="053F9835" w14:textId="77777777" w:rsidR="00EC782E" w:rsidRPr="00EC782E" w:rsidRDefault="00EC782E" w:rsidP="00EC782E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CERGE-EI, </w:t>
            </w:r>
            <w:proofErr w:type="spellStart"/>
            <w:r w:rsidRPr="00EC782E">
              <w:rPr>
                <w:rFonts w:ascii="Georgia" w:hAnsi="Georgia"/>
                <w:sz w:val="21"/>
                <w:szCs w:val="21"/>
              </w:rPr>
              <w:t>Politických</w:t>
            </w:r>
            <w:proofErr w:type="spellEnd"/>
            <w:r w:rsidRPr="00EC782E">
              <w:rPr>
                <w:rFonts w:ascii="Georgia" w:hAnsi="Georgia"/>
                <w:sz w:val="21"/>
                <w:szCs w:val="21"/>
              </w:rPr>
              <w:t xml:space="preserve"> </w:t>
            </w:r>
            <w:proofErr w:type="spellStart"/>
            <w:r w:rsidRPr="00EC782E">
              <w:rPr>
                <w:rFonts w:ascii="Georgia" w:hAnsi="Georgia"/>
                <w:sz w:val="21"/>
                <w:szCs w:val="21"/>
              </w:rPr>
              <w:t>vězňů</w:t>
            </w:r>
            <w:proofErr w:type="spellEnd"/>
            <w:r w:rsidRPr="00EC782E">
              <w:rPr>
                <w:rFonts w:ascii="Georgia" w:hAnsi="Georgia"/>
                <w:sz w:val="21"/>
                <w:szCs w:val="21"/>
              </w:rPr>
              <w:t xml:space="preserve"> 7</w:t>
            </w:r>
          </w:p>
          <w:p w14:paraId="73BED190" w14:textId="77777777" w:rsidR="00EC782E" w:rsidRDefault="00EC782E" w:rsidP="00EC782E">
            <w:pPr>
              <w:rPr>
                <w:rFonts w:ascii="Georgia" w:hAnsi="Georgia"/>
                <w:sz w:val="21"/>
                <w:szCs w:val="21"/>
              </w:rPr>
            </w:pPr>
            <w:r w:rsidRPr="00EC782E">
              <w:rPr>
                <w:rFonts w:ascii="Georgia" w:hAnsi="Georgia"/>
                <w:sz w:val="21"/>
                <w:szCs w:val="21"/>
              </w:rPr>
              <w:t>111 21 Prague 1</w:t>
            </w:r>
            <w:r>
              <w:rPr>
                <w:rFonts w:ascii="Georgia" w:hAnsi="Georgia"/>
                <w:sz w:val="21"/>
                <w:szCs w:val="21"/>
              </w:rPr>
              <w:t xml:space="preserve">, </w:t>
            </w:r>
            <w:r w:rsidRPr="00EC782E">
              <w:rPr>
                <w:rFonts w:ascii="Georgia" w:hAnsi="Georgia"/>
                <w:sz w:val="21"/>
                <w:szCs w:val="21"/>
              </w:rPr>
              <w:t>Czech Republic</w:t>
            </w:r>
          </w:p>
          <w:p w14:paraId="4437126B" w14:textId="45B07346" w:rsidR="00487B0F" w:rsidRDefault="00487B0F" w:rsidP="005B1092">
            <w:pPr>
              <w:rPr>
                <w:rFonts w:ascii="Georgia" w:hAnsi="Georgia"/>
                <w:b/>
                <w:sz w:val="24"/>
                <w:szCs w:val="26"/>
              </w:rPr>
            </w:pPr>
            <w:hyperlink r:id="rId11" w:history="1">
              <w:r w:rsidRPr="00B44504">
                <w:rPr>
                  <w:rStyle w:val="Hyperlink"/>
                  <w:rFonts w:ascii="Georgia" w:hAnsi="Georgia"/>
                  <w:color w:val="2E74B5" w:themeColor="accent5" w:themeShade="BF"/>
                  <w:sz w:val="21"/>
                  <w:szCs w:val="21"/>
                </w:rPr>
                <w:t>stanislav.anatolyev@cerge-ei.cz</w:t>
              </w:r>
            </w:hyperlink>
          </w:p>
        </w:tc>
        <w:tc>
          <w:tcPr>
            <w:tcW w:w="5572" w:type="dxa"/>
          </w:tcPr>
          <w:p w14:paraId="0FCA71F5" w14:textId="77777777" w:rsidR="00487B0F" w:rsidRDefault="00487B0F" w:rsidP="005B1092">
            <w:pPr>
              <w:rPr>
                <w:rFonts w:ascii="Georgia" w:hAnsi="Georgia"/>
                <w:b/>
                <w:sz w:val="24"/>
                <w:szCs w:val="26"/>
              </w:rPr>
            </w:pPr>
          </w:p>
        </w:tc>
      </w:tr>
    </w:tbl>
    <w:p w14:paraId="7F113A1D" w14:textId="77777777" w:rsidR="00AC5A56" w:rsidRPr="00C20A1E" w:rsidRDefault="00AC5A56">
      <w:pPr>
        <w:rPr>
          <w:rFonts w:ascii="Georgia" w:hAnsi="Georgia"/>
          <w:sz w:val="24"/>
          <w:szCs w:val="24"/>
        </w:rPr>
      </w:pPr>
    </w:p>
    <w:sectPr w:rsidR="00AC5A56" w:rsidRPr="00C20A1E" w:rsidSect="00E864F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92"/>
    <w:rsid w:val="00014E3A"/>
    <w:rsid w:val="00093353"/>
    <w:rsid w:val="000B7B29"/>
    <w:rsid w:val="000F422A"/>
    <w:rsid w:val="00151BE8"/>
    <w:rsid w:val="00153A4A"/>
    <w:rsid w:val="00161203"/>
    <w:rsid w:val="00161367"/>
    <w:rsid w:val="00171EF9"/>
    <w:rsid w:val="0017390A"/>
    <w:rsid w:val="001A360B"/>
    <w:rsid w:val="001C24FF"/>
    <w:rsid w:val="00245D81"/>
    <w:rsid w:val="002656D7"/>
    <w:rsid w:val="00291F61"/>
    <w:rsid w:val="00292DA5"/>
    <w:rsid w:val="002A2842"/>
    <w:rsid w:val="002B45EF"/>
    <w:rsid w:val="002C340E"/>
    <w:rsid w:val="002D669A"/>
    <w:rsid w:val="002F4160"/>
    <w:rsid w:val="003000E2"/>
    <w:rsid w:val="00364D0B"/>
    <w:rsid w:val="00371F08"/>
    <w:rsid w:val="003C3922"/>
    <w:rsid w:val="003D3848"/>
    <w:rsid w:val="00402E35"/>
    <w:rsid w:val="00437CF0"/>
    <w:rsid w:val="0045555A"/>
    <w:rsid w:val="00484612"/>
    <w:rsid w:val="00487B0F"/>
    <w:rsid w:val="004C37F2"/>
    <w:rsid w:val="004D7FA4"/>
    <w:rsid w:val="005431F7"/>
    <w:rsid w:val="005A51D1"/>
    <w:rsid w:val="005A6D7A"/>
    <w:rsid w:val="005A7595"/>
    <w:rsid w:val="005B1092"/>
    <w:rsid w:val="005B5CEC"/>
    <w:rsid w:val="005F5FE5"/>
    <w:rsid w:val="00602F25"/>
    <w:rsid w:val="0064653D"/>
    <w:rsid w:val="006B52C1"/>
    <w:rsid w:val="006F20BE"/>
    <w:rsid w:val="007224DF"/>
    <w:rsid w:val="00730621"/>
    <w:rsid w:val="00741A22"/>
    <w:rsid w:val="00753B1C"/>
    <w:rsid w:val="0075428C"/>
    <w:rsid w:val="0076238F"/>
    <w:rsid w:val="00782FB4"/>
    <w:rsid w:val="00795D57"/>
    <w:rsid w:val="0080191D"/>
    <w:rsid w:val="008050AE"/>
    <w:rsid w:val="008F07B6"/>
    <w:rsid w:val="00915828"/>
    <w:rsid w:val="00933989"/>
    <w:rsid w:val="00951976"/>
    <w:rsid w:val="00973764"/>
    <w:rsid w:val="009773A5"/>
    <w:rsid w:val="009D04D5"/>
    <w:rsid w:val="00A03A83"/>
    <w:rsid w:val="00A056A0"/>
    <w:rsid w:val="00A32EA1"/>
    <w:rsid w:val="00A41339"/>
    <w:rsid w:val="00A41C44"/>
    <w:rsid w:val="00A45446"/>
    <w:rsid w:val="00A517EF"/>
    <w:rsid w:val="00A71DB1"/>
    <w:rsid w:val="00AB6992"/>
    <w:rsid w:val="00AC3EF2"/>
    <w:rsid w:val="00AC5A56"/>
    <w:rsid w:val="00B01743"/>
    <w:rsid w:val="00B30F08"/>
    <w:rsid w:val="00B44504"/>
    <w:rsid w:val="00B75E02"/>
    <w:rsid w:val="00BA3F99"/>
    <w:rsid w:val="00BD798D"/>
    <w:rsid w:val="00BF37EB"/>
    <w:rsid w:val="00C20A1E"/>
    <w:rsid w:val="00C232CE"/>
    <w:rsid w:val="00C3203F"/>
    <w:rsid w:val="00C36769"/>
    <w:rsid w:val="00C74ED1"/>
    <w:rsid w:val="00C76AED"/>
    <w:rsid w:val="00C832F4"/>
    <w:rsid w:val="00CB09AA"/>
    <w:rsid w:val="00CB5989"/>
    <w:rsid w:val="00CC3A6E"/>
    <w:rsid w:val="00CD4750"/>
    <w:rsid w:val="00CD599B"/>
    <w:rsid w:val="00CD5B09"/>
    <w:rsid w:val="00D0793C"/>
    <w:rsid w:val="00D56CDD"/>
    <w:rsid w:val="00D80E4E"/>
    <w:rsid w:val="00D85BC6"/>
    <w:rsid w:val="00DB6084"/>
    <w:rsid w:val="00DE000D"/>
    <w:rsid w:val="00DE6213"/>
    <w:rsid w:val="00DE6630"/>
    <w:rsid w:val="00E317D5"/>
    <w:rsid w:val="00E620A2"/>
    <w:rsid w:val="00E70634"/>
    <w:rsid w:val="00E864F0"/>
    <w:rsid w:val="00EA2A22"/>
    <w:rsid w:val="00EC782E"/>
    <w:rsid w:val="00F02992"/>
    <w:rsid w:val="00F074B7"/>
    <w:rsid w:val="00F5012F"/>
    <w:rsid w:val="00F77436"/>
    <w:rsid w:val="00F779CC"/>
    <w:rsid w:val="00F77CEB"/>
    <w:rsid w:val="00F87470"/>
    <w:rsid w:val="00FA6BA2"/>
    <w:rsid w:val="00FB08F2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82DC8"/>
  <w15:chartTrackingRefBased/>
  <w15:docId w15:val="{F7B7754A-CE74-44DB-92E3-D61B34A5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5E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gstat.de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kolkova.github.io/docs/ENIV_summary_Skolkov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kolkova.github.io/docs/Skolkova_jm_paper.pdf" TargetMode="External"/><Relationship Id="rId11" Type="http://schemas.openxmlformats.org/officeDocument/2006/relationships/hyperlink" Target="mailto:stanislav.anatolyev@cerge-ei.cz" TargetMode="External"/><Relationship Id="rId5" Type="http://schemas.openxmlformats.org/officeDocument/2006/relationships/hyperlink" Target="https://askolkova.github.io/" TargetMode="External"/><Relationship Id="rId10" Type="http://schemas.openxmlformats.org/officeDocument/2006/relationships/hyperlink" Target="mailto:veronika.selezneva@cerge-ei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pan.jurajda@cerge-e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6714-2AD9-43D5-89DA-B5F89CD5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Skolkova Alena</dc:creator>
  <cp:keywords/>
  <dc:description/>
  <cp:lastModifiedBy>Alena Skolkova</cp:lastModifiedBy>
  <cp:revision>3</cp:revision>
  <cp:lastPrinted>2022-11-19T17:11:00Z</cp:lastPrinted>
  <dcterms:created xsi:type="dcterms:W3CDTF">2025-05-05T15:02:00Z</dcterms:created>
  <dcterms:modified xsi:type="dcterms:W3CDTF">2025-05-05T15:03:00Z</dcterms:modified>
</cp:coreProperties>
</file>