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A27" w:rsidRDefault="002C1A1A" w:rsidP="00C42A27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/>
          <w:b/>
          <w:sz w:val="24"/>
          <w:szCs w:val="24"/>
          <w:lang w:val="en-US"/>
        </w:rPr>
        <w:t>Course Syllabus</w:t>
      </w:r>
    </w:p>
    <w:p w:rsidR="00C42A27" w:rsidRDefault="00C42A27" w:rsidP="00C42A27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tbl>
      <w:tblPr>
        <w:tblW w:w="978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121"/>
        <w:gridCol w:w="1704"/>
        <w:gridCol w:w="1704"/>
        <w:gridCol w:w="1134"/>
        <w:gridCol w:w="1134"/>
        <w:gridCol w:w="1558"/>
      </w:tblGrid>
      <w:tr w:rsidR="00C42A27" w:rsidRPr="007A5D30" w:rsidTr="006E2F0C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42A27" w:rsidRDefault="00C42A27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Title of the course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42A27" w:rsidRDefault="00F77787" w:rsidP="00F45B51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Computational Economics</w:t>
            </w:r>
          </w:p>
        </w:tc>
      </w:tr>
      <w:tr w:rsidR="00C42A27" w:rsidRPr="00DF1FAE" w:rsidTr="006E2F0C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42A27" w:rsidRDefault="00C42A27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Title of the Academic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Programme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2A27" w:rsidRDefault="00F77787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Bachelor</w:t>
            </w:r>
            <w:r w:rsidR="00F45B51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in Economics (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perscript"/>
                <w:lang w:val="en-US"/>
              </w:rPr>
              <w:t>r</w:t>
            </w:r>
            <w:r w:rsidR="00F45B51" w:rsidRPr="00F45B51">
              <w:rPr>
                <w:rFonts w:ascii="Times New Roman" w:eastAsiaTheme="minorHAnsi" w:hAnsi="Times New Roman"/>
                <w:sz w:val="24"/>
                <w:szCs w:val="24"/>
                <w:vertAlign w:val="superscript"/>
                <w:lang w:val="en-US"/>
              </w:rPr>
              <w:t>d</w:t>
            </w:r>
            <w:r w:rsidR="00F45B51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year)</w:t>
            </w:r>
          </w:p>
        </w:tc>
      </w:tr>
      <w:tr w:rsidR="00C42A27" w:rsidRPr="00DF1FAE" w:rsidTr="006E2F0C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42A27" w:rsidRDefault="00C42A27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Course Overview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16B67" w:rsidRPr="00C64864" w:rsidRDefault="00697266" w:rsidP="00C13C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648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This course teaches the basics of programming and computational skills for economic analysis. Significant part of the course is centered around </w:t>
            </w:r>
          </w:p>
          <w:p w:rsidR="00697266" w:rsidRPr="00C64864" w:rsidRDefault="00697266" w:rsidP="00C16B67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C648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dynamic models from </w:t>
            </w:r>
            <w:r w:rsidR="00C16B67" w:rsidRPr="00C648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micro- and </w:t>
            </w:r>
            <w:r w:rsidRPr="00C648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macroeconomics. Basic data manipulation methods are also covered, together with the data visualization techniques which are used extensively for visual analysis and presentation of numerical solutions.</w:t>
            </w:r>
          </w:p>
        </w:tc>
      </w:tr>
      <w:tr w:rsidR="00C42A27" w:rsidRPr="00DF1FAE" w:rsidTr="006E2F0C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42A27" w:rsidRDefault="00C42A27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Learning O</w:t>
            </w:r>
            <w:r w:rsidR="0060266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bjectives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52A39" w:rsidRPr="00C64864" w:rsidRDefault="001C4700" w:rsidP="00AB4114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C648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course is taught in Python, and provides basic training in core language features and common scientific libraries.</w:t>
            </w:r>
          </w:p>
        </w:tc>
      </w:tr>
      <w:tr w:rsidR="00C42A27" w:rsidRPr="00DF1FAE" w:rsidTr="006E2F0C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42A27" w:rsidRDefault="0060266B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Extended</w:t>
            </w:r>
            <w:r w:rsidR="00C42A27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Learning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Objectives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1440" w:rsidRPr="00C64864" w:rsidRDefault="000B1440" w:rsidP="000B1440">
            <w:pPr>
              <w:pStyle w:val="pudlist-item"/>
              <w:shd w:val="clear" w:color="auto" w:fill="FFFFFF"/>
              <w:spacing w:before="120" w:beforeAutospacing="0" w:after="180" w:afterAutospacing="0"/>
              <w:rPr>
                <w:color w:val="000000"/>
                <w:lang w:val="en-US"/>
              </w:rPr>
            </w:pPr>
            <w:r w:rsidRPr="00C64864">
              <w:rPr>
                <w:color w:val="000000"/>
                <w:lang w:val="en-US"/>
              </w:rPr>
              <w:t>Reinforcement of key ideas from a number of static and dynamic economic models, including their generalizations that do not admit analytic solutions</w:t>
            </w:r>
          </w:p>
          <w:p w:rsidR="000B1440" w:rsidRPr="000B1440" w:rsidRDefault="000B1440" w:rsidP="000B1440">
            <w:pPr>
              <w:pStyle w:val="pudlist-item"/>
              <w:shd w:val="clear" w:color="auto" w:fill="FFFFFF"/>
              <w:spacing w:before="120" w:beforeAutospacing="0" w:after="180" w:afterAutospacing="0"/>
              <w:rPr>
                <w:color w:val="000000"/>
                <w:lang w:val="en-US"/>
              </w:rPr>
            </w:pPr>
            <w:r w:rsidRPr="000B1440">
              <w:rPr>
                <w:color w:val="000000"/>
                <w:lang w:val="en-US"/>
              </w:rPr>
              <w:t>Ability to implement familiar mathematical methods and algorithms in computer code</w:t>
            </w:r>
            <w:r w:rsidR="000A467A">
              <w:rPr>
                <w:color w:val="000000"/>
                <w:lang w:val="en-US"/>
              </w:rPr>
              <w:t>.</w:t>
            </w:r>
          </w:p>
          <w:p w:rsidR="00C42A27" w:rsidRPr="00C64864" w:rsidRDefault="000B1440" w:rsidP="0050275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C648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Basic coding skills for scientific computations in economics</w:t>
            </w:r>
          </w:p>
        </w:tc>
      </w:tr>
      <w:tr w:rsidR="006E2F0C" w:rsidRPr="00DF1FAE" w:rsidTr="00BE33CE">
        <w:tc>
          <w:tcPr>
            <w:tcW w:w="9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E2F0C" w:rsidRDefault="006E2F0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Content and Structure of the Course</w:t>
            </w:r>
          </w:p>
        </w:tc>
      </w:tr>
      <w:tr w:rsidR="006E2F0C" w:rsidRPr="006E2F0C" w:rsidTr="00C47752">
        <w:trPr>
          <w:trHeight w:val="45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E2F0C" w:rsidRPr="00C47752" w:rsidRDefault="006E2F0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B7280">
              <w:rPr>
                <w:rFonts w:ascii="Times New Roman" w:hAnsi="Times New Roman"/>
                <w:b/>
                <w:lang w:val="en-US"/>
              </w:rPr>
              <w:t>№</w:t>
            </w:r>
          </w:p>
        </w:tc>
        <w:tc>
          <w:tcPr>
            <w:tcW w:w="38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Pr="00C47752" w:rsidRDefault="006E2F0C" w:rsidP="003D390B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C47752">
              <w:rPr>
                <w:rFonts w:ascii="Times New Roman" w:eastAsiaTheme="minorHAnsi" w:hAnsi="Times New Roman"/>
                <w:b/>
                <w:lang w:val="en-US"/>
              </w:rPr>
              <w:t>Topic / Course Chapter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Pr="00C47752" w:rsidRDefault="006E2F0C" w:rsidP="003D390B">
            <w:pPr>
              <w:jc w:val="center"/>
              <w:rPr>
                <w:rFonts w:ascii="Times New Roman" w:eastAsiaTheme="minorHAnsi" w:hAnsi="Times New Roman"/>
                <w:b/>
                <w:lang w:val="en-US"/>
              </w:rPr>
            </w:pPr>
            <w:r w:rsidRPr="00C47752">
              <w:rPr>
                <w:rFonts w:ascii="Times New Roman" w:eastAsiaTheme="minorHAnsi" w:hAnsi="Times New Roman"/>
                <w:b/>
                <w:lang w:val="en-US"/>
              </w:rPr>
              <w:t>Total</w:t>
            </w:r>
          </w:p>
          <w:p w:rsidR="006E2F0C" w:rsidRPr="00C47752" w:rsidRDefault="006E2F0C" w:rsidP="003D390B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Pr="00C47752" w:rsidRDefault="006E2F0C" w:rsidP="003D390B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C47752">
              <w:rPr>
                <w:rFonts w:ascii="Times New Roman" w:eastAsiaTheme="minorHAnsi" w:hAnsi="Times New Roman"/>
                <w:b/>
                <w:lang w:val="en-US"/>
              </w:rPr>
              <w:t>Directed Study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Pr="00C47752" w:rsidRDefault="006E2F0C" w:rsidP="003D390B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C47752">
              <w:rPr>
                <w:rFonts w:ascii="Times New Roman" w:eastAsiaTheme="minorHAnsi" w:hAnsi="Times New Roman"/>
                <w:b/>
                <w:lang w:val="en-US"/>
              </w:rPr>
              <w:t>Self-directed Study</w:t>
            </w:r>
          </w:p>
        </w:tc>
      </w:tr>
      <w:tr w:rsidR="006E2F0C" w:rsidRPr="006E2F0C" w:rsidTr="00C47752">
        <w:trPr>
          <w:trHeight w:val="45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E2F0C" w:rsidRDefault="006E2F0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6E2F0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6E2F0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Pr="00C47752" w:rsidRDefault="006E2F0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C47752">
              <w:rPr>
                <w:rFonts w:ascii="Times New Roman" w:eastAsiaTheme="minorHAnsi" w:hAnsi="Times New Roman"/>
                <w:b/>
                <w:lang w:val="en-US"/>
              </w:rPr>
              <w:t>Lectures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Pr="00C47752" w:rsidRDefault="006E2F0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C47752">
              <w:rPr>
                <w:rFonts w:ascii="Times New Roman" w:eastAsiaTheme="minorHAnsi" w:hAnsi="Times New Roman"/>
                <w:b/>
                <w:lang w:val="en-US"/>
              </w:rPr>
              <w:t>Tutorials</w:t>
            </w: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6E2F0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</w:tr>
      <w:tr w:rsidR="006E2F0C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E2F0C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Pr="008E778D" w:rsidRDefault="000E0441" w:rsidP="000E044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8E778D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Introduction to </w:t>
            </w:r>
            <w:r w:rsidR="00F77787" w:rsidRPr="008E778D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</w:t>
            </w:r>
            <w:r w:rsidR="00DF1FAE" w:rsidRPr="008E778D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omputational Economics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Pr="000D33F3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E2F0C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E2F0C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Pr="008E778D" w:rsidRDefault="005956A8" w:rsidP="00FB1803">
            <w:pP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8E77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Analysis of dynamics: Finite Markov chains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Pr="007A5D3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F0C" w:rsidRPr="000D33F3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B7280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7280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8E778D" w:rsidRDefault="005956A8" w:rsidP="00FB180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Multiple</w:t>
            </w:r>
            <w:proofErr w:type="spellEnd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agent</w:t>
            </w:r>
            <w:proofErr w:type="spellEnd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approach</w:t>
            </w:r>
            <w:proofErr w:type="spellEnd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Segregation</w:t>
            </w:r>
            <w:proofErr w:type="spellEnd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0D33F3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7A5D30" w:rsidRDefault="007A5D30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9B7280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7280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8E778D" w:rsidRDefault="005956A8" w:rsidP="00DF1FAE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E77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Dynamic programming: optimal saving and growth model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7A5D3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7A5D30" w:rsidRDefault="007A5D30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7A5D3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B7280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7280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8E778D" w:rsidRDefault="00DF1FAE" w:rsidP="00DF1FAE">
            <w:pP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Credit</w:t>
            </w:r>
            <w:proofErr w:type="spellEnd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778D">
              <w:rPr>
                <w:rFonts w:ascii="Times New Roman" w:hAnsi="Times New Roman"/>
                <w:color w:val="000000"/>
                <w:sz w:val="24"/>
                <w:szCs w:val="24"/>
              </w:rPr>
              <w:t>Cycle</w:t>
            </w:r>
            <w:proofErr w:type="spellEnd"/>
            <w:r w:rsidR="008B18E1" w:rsidRPr="008E77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0D33F3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7A5D30" w:rsidRDefault="007A5D30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9B7280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7280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1803" w:rsidRPr="008E778D" w:rsidRDefault="00FB1803" w:rsidP="00DF1FAE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E77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Forecasting methods</w:t>
            </w:r>
            <w:r w:rsidRPr="008E77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 Structural vector-autoregressive model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7A5D3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0D33F3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B7280" w:rsidRPr="000E0441" w:rsidTr="00C47752">
        <w:trPr>
          <w:trHeight w:val="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7280" w:rsidRDefault="0061059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Pr="008E778D" w:rsidRDefault="00FB1803" w:rsidP="00FB180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8E77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Theory-based analysis of empirical estimates: Spatial equilibrium model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E6039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280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E2F0C" w:rsidRPr="006E2F0C" w:rsidTr="00B16748">
        <w:trPr>
          <w:trHeight w:val="45"/>
        </w:trPr>
        <w:tc>
          <w:tcPr>
            <w:tcW w:w="4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E2F0C" w:rsidRPr="00C47752" w:rsidRDefault="00EB63A7" w:rsidP="00EB63A7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b/>
                <w:lang w:val="en-US"/>
              </w:rPr>
              <w:t>Total study</w:t>
            </w:r>
            <w:r w:rsidR="006E2F0C" w:rsidRPr="00C47752">
              <w:rPr>
                <w:rFonts w:ascii="Times New Roman" w:eastAsiaTheme="minorHAnsi" w:hAnsi="Times New Roman"/>
                <w:b/>
                <w:lang w:val="en-US"/>
              </w:rPr>
              <w:t xml:space="preserve"> hours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</w:t>
            </w:r>
            <w:r w:rsidR="00E6039F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E2F0C" w:rsidRDefault="000D33F3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  <w:r w:rsidR="00793A8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42A27" w:rsidRPr="00DF1FAE" w:rsidTr="00ED1DC8">
        <w:trPr>
          <w:trHeight w:val="552"/>
        </w:trPr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42A27" w:rsidRDefault="00076E2F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076E2F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lastRenderedPageBreak/>
              <w:t xml:space="preserve">Indicative Assessment Methods and Strategy 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42A27" w:rsidRDefault="00E004FA" w:rsidP="00E004FA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Student’s progress is measured by class participation, </w:t>
            </w:r>
            <w:r w:rsidR="00A501C1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homework, and project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(</w:t>
            </w:r>
            <w:r w:rsidR="0037292F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weights are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0.</w:t>
            </w:r>
            <w:r w:rsidR="004A245E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, 0</w:t>
            </w:r>
            <w:r w:rsidR="004A245E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.3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, and 0.5, respectively).</w:t>
            </w:r>
          </w:p>
        </w:tc>
      </w:tr>
      <w:tr w:rsidR="00076E2F" w:rsidRPr="004227A7" w:rsidTr="00ED1DC8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6E2F" w:rsidRDefault="00076E2F" w:rsidP="00EB63A7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076E2F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Readings / Indicative Learning Resources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5145" w:rsidRPr="00BA44AB" w:rsidRDefault="00805145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</w:pPr>
            <w:r w:rsidRPr="00BA44AB"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  <w:t>Lectures and seminars</w:t>
            </w:r>
          </w:p>
          <w:p w:rsidR="00805145" w:rsidRPr="00BA44AB" w:rsidRDefault="00805145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  <w:p w:rsidR="00BA44AB" w:rsidRPr="00BA44AB" w:rsidRDefault="00BA44AB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hyperlink r:id="rId7" w:history="1">
              <w:r w:rsidRPr="00521800">
                <w:rPr>
                  <w:rStyle w:val="a8"/>
                  <w:rFonts w:ascii="Times New Roman" w:eastAsiaTheme="minorHAnsi" w:hAnsi="Times New Roman"/>
                  <w:sz w:val="24"/>
                  <w:szCs w:val="24"/>
                  <w:lang w:val="en-US"/>
                </w:rPr>
                <w:t>https://github.com/askorobogat/CompEcon</w:t>
              </w:r>
            </w:hyperlink>
          </w:p>
          <w:p w:rsidR="00195ED6" w:rsidRPr="00BA44AB" w:rsidRDefault="00195ED6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  <w:p w:rsidR="0044543B" w:rsidRPr="00BA44AB" w:rsidRDefault="00805145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</w:pPr>
            <w:r w:rsidRPr="00BA44AB"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  <w:t>Bibliography</w:t>
            </w:r>
          </w:p>
          <w:p w:rsidR="00805145" w:rsidRPr="00BA44AB" w:rsidRDefault="00805145" w:rsidP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  <w:p w:rsidR="00FE2DD4" w:rsidRPr="00BA44AB" w:rsidRDefault="0017059C" w:rsidP="00805145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V</w:t>
            </w:r>
            <w:r w:rsidR="00DF23B1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erbeek M. A Guide to Modern Econometrics. Chichester: John Wiley &amp; Sons, 2000, </w:t>
            </w:r>
            <w:proofErr w:type="spellStart"/>
            <w:r w:rsidR="00DF23B1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ch.</w:t>
            </w:r>
            <w:proofErr w:type="spellEnd"/>
            <w:r w:rsidR="00DF23B1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="00FB408C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9</w:t>
            </w:r>
            <w:r w:rsidR="00DF23B1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,</w:t>
            </w:r>
            <w:r w:rsidR="00FB408C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="00DF23B1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10.</w:t>
            </w:r>
          </w:p>
          <w:p w:rsidR="0017059C" w:rsidRPr="00BA44AB" w:rsidRDefault="00FB408C" w:rsidP="00FB408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proofErr w:type="spellStart"/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Glaeser</w:t>
            </w:r>
            <w:proofErr w:type="spellEnd"/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, Edward L., 2008. Cities, agglomeration, and spatial equilibrium. Oxford University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Press, Oxford and New York.</w:t>
            </w:r>
          </w:p>
          <w:p w:rsidR="007C2FE6" w:rsidRPr="00BA44AB" w:rsidRDefault="007C2FE6" w:rsidP="007C2FE6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44A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Skorobogatov A. </w:t>
            </w:r>
            <w:r w:rsidRPr="00BA44A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Why do newer cities promise higher wages in Russia? // Journal of Urban Economics, 2018, Vol. 104, pp. 16-34.</w:t>
            </w:r>
          </w:p>
          <w:p w:rsidR="004227A7" w:rsidRPr="00BA44AB" w:rsidRDefault="004227A7" w:rsidP="00FB40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44AB">
              <w:rPr>
                <w:rFonts w:ascii="Times New Roman" w:hAnsi="Times New Roman"/>
                <w:sz w:val="24"/>
                <w:szCs w:val="24"/>
                <w:lang w:val="en-US"/>
              </w:rPr>
              <w:t>Young H. P. Individual Strategy and Social Structure. Evolutionary Theory of Institutions. Princeton: Princeton University Press, 1998</w:t>
            </w:r>
            <w:r w:rsidRPr="00BA44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44AB">
              <w:rPr>
                <w:rFonts w:ascii="Times New Roman" w:hAnsi="Times New Roman"/>
                <w:sz w:val="24"/>
                <w:szCs w:val="24"/>
                <w:lang w:val="en-US"/>
              </w:rPr>
              <w:t>ch.</w:t>
            </w:r>
            <w:proofErr w:type="spellEnd"/>
            <w:r w:rsidRPr="00BA44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1, 3.</w:t>
            </w:r>
          </w:p>
          <w:p w:rsidR="0094586D" w:rsidRPr="00BA44AB" w:rsidRDefault="0094586D" w:rsidP="00FB408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Barro R., Sala-</w:t>
            </w:r>
            <w:proofErr w:type="spellStart"/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-Martin X. Economic Growth. MIT Press. Ch. 2.</w:t>
            </w:r>
          </w:p>
          <w:p w:rsidR="0094586D" w:rsidRPr="00BA44AB" w:rsidRDefault="0094586D" w:rsidP="0094586D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Wang, Y., Wu, C., &amp; Yang, L. (2013). Oil price shocks and stock market activities: Evidence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from oil-importing and oil-exporting countries. Journal of Comparative Economics, 41(4), 1220-1239.</w:t>
            </w:r>
          </w:p>
          <w:p w:rsidR="00FB408C" w:rsidRPr="00BA44AB" w:rsidRDefault="0094586D" w:rsidP="00770896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Kilian, L., Park, C. The impact of oil price shocks on the US stock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market. International Economic Review, </w:t>
            </w:r>
            <w:r w:rsidR="00756B0F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2009. </w:t>
            </w:r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50(4), 1267-1287.</w:t>
            </w:r>
          </w:p>
          <w:p w:rsidR="00770896" w:rsidRPr="00BA44AB" w:rsidRDefault="00770896" w:rsidP="00770896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proofErr w:type="spellStart"/>
            <w:r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Kiyotaki</w:t>
            </w:r>
            <w:proofErr w:type="spellEnd"/>
            <w:r w:rsidR="00756B0F" w:rsidRPr="00BA44AB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N., Moore J. Credit cycles. Journal of Political Economy. 1997. No 2. P. 211-248.</w:t>
            </w:r>
          </w:p>
          <w:p w:rsidR="00756B0F" w:rsidRDefault="00E14AC9" w:rsidP="00770896">
            <w:pPr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A44A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Ryo Kato, 2003. "</w:t>
            </w:r>
            <w:proofErr w:type="spellStart"/>
            <w:r w:rsidRPr="00BA44AB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fldChar w:fldCharType="begin"/>
            </w:r>
            <w:r w:rsidRPr="00BA44AB">
              <w:rPr>
                <w:rFonts w:ascii="Times New Roman" w:hAnsi="Times New Roman"/>
                <w:bCs/>
                <w:color w:val="333333"/>
                <w:sz w:val="24"/>
                <w:szCs w:val="24"/>
                <w:lang w:val="en-US"/>
              </w:rPr>
              <w:instrText xml:space="preserve"> HYPERLINK "https://ideas.repec.org/c/dge/qmrbcd/113.html" </w:instrText>
            </w:r>
            <w:r w:rsidRPr="00BA44AB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fldChar w:fldCharType="separate"/>
            </w:r>
            <w:r w:rsidRPr="00BA44AB">
              <w:rPr>
                <w:rStyle w:val="a8"/>
                <w:rFonts w:ascii="Times New Roman" w:hAnsi="Times New Roman"/>
                <w:bCs/>
                <w:color w:val="2D4E8B"/>
                <w:sz w:val="24"/>
                <w:szCs w:val="24"/>
                <w:u w:val="none"/>
                <w:lang w:val="en-US"/>
              </w:rPr>
              <w:t>Matlab</w:t>
            </w:r>
            <w:proofErr w:type="spellEnd"/>
            <w:r w:rsidRPr="00BA44AB">
              <w:rPr>
                <w:rStyle w:val="a8"/>
                <w:rFonts w:ascii="Times New Roman" w:hAnsi="Times New Roman"/>
                <w:bCs/>
                <w:color w:val="2D4E8B"/>
                <w:sz w:val="24"/>
                <w:szCs w:val="24"/>
                <w:u w:val="none"/>
                <w:lang w:val="en-US"/>
              </w:rPr>
              <w:t xml:space="preserve"> code for </w:t>
            </w:r>
            <w:proofErr w:type="spellStart"/>
            <w:r w:rsidRPr="00BA44AB">
              <w:rPr>
                <w:rStyle w:val="a8"/>
                <w:rFonts w:ascii="Times New Roman" w:hAnsi="Times New Roman"/>
                <w:bCs/>
                <w:color w:val="2D4E8B"/>
                <w:sz w:val="24"/>
                <w:szCs w:val="24"/>
                <w:u w:val="none"/>
                <w:lang w:val="en-US"/>
              </w:rPr>
              <w:t>Kiyotaki</w:t>
            </w:r>
            <w:proofErr w:type="spellEnd"/>
            <w:r w:rsidRPr="00BA44AB">
              <w:rPr>
                <w:rStyle w:val="a8"/>
                <w:rFonts w:ascii="Times New Roman" w:hAnsi="Times New Roman"/>
                <w:bCs/>
                <w:color w:val="2D4E8B"/>
                <w:sz w:val="24"/>
                <w:szCs w:val="24"/>
                <w:u w:val="none"/>
                <w:lang w:val="en-US"/>
              </w:rPr>
              <w:t xml:space="preserve">-Moore credit </w:t>
            </w:r>
            <w:r w:rsidRPr="00BA44AB">
              <w:rPr>
                <w:rStyle w:val="a8"/>
                <w:rFonts w:ascii="Times New Roman" w:hAnsi="Times New Roman"/>
                <w:bCs/>
                <w:color w:val="2D4E8B"/>
                <w:sz w:val="24"/>
                <w:szCs w:val="24"/>
                <w:u w:val="none"/>
                <w:lang w:val="en-US"/>
              </w:rPr>
              <w:t>c</w:t>
            </w:r>
            <w:r w:rsidRPr="00BA44AB">
              <w:rPr>
                <w:rStyle w:val="a8"/>
                <w:rFonts w:ascii="Times New Roman" w:hAnsi="Times New Roman"/>
                <w:bCs/>
                <w:color w:val="2D4E8B"/>
                <w:sz w:val="24"/>
                <w:szCs w:val="24"/>
                <w:u w:val="none"/>
                <w:lang w:val="en-US"/>
              </w:rPr>
              <w:t>ycles</w:t>
            </w:r>
            <w:r w:rsidRPr="00BA44AB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fldChar w:fldCharType="end"/>
            </w:r>
            <w:r w:rsidRPr="00BA44A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," </w:t>
            </w:r>
            <w:r w:rsidRPr="00BA44AB">
              <w:rPr>
                <w:rFonts w:ascii="Times New Roman" w:hAnsi="Times New Roman"/>
                <w:sz w:val="24"/>
                <w:szCs w:val="24"/>
                <w:lang w:val="en-US"/>
              </w:rPr>
              <w:t>QM&amp;RBC Codes</w:t>
            </w:r>
            <w:r w:rsidRPr="00BA44A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113, Quantitative Macroeconomics &amp; Real Business Cycles.</w:t>
            </w:r>
          </w:p>
          <w:p w:rsidR="00BA44AB" w:rsidRDefault="00BA44AB" w:rsidP="00770896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</w:pPr>
          </w:p>
          <w:p w:rsidR="00BA44AB" w:rsidRDefault="00BA44AB" w:rsidP="00770896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  <w:t>Additional materials</w:t>
            </w:r>
          </w:p>
          <w:p w:rsidR="00BA44AB" w:rsidRDefault="00BA44AB" w:rsidP="00770896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</w:pPr>
          </w:p>
          <w:p w:rsidR="00BA44AB" w:rsidRPr="007E00FF" w:rsidRDefault="00BA44AB" w:rsidP="00BA44AB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C2D2E"/>
                <w:lang w:val="en-US"/>
              </w:rPr>
            </w:pPr>
            <w:hyperlink r:id="rId8" w:tgtFrame="_blank" w:history="1">
              <w:r w:rsidRPr="007E00FF">
                <w:rPr>
                  <w:rStyle w:val="a8"/>
                  <w:rFonts w:ascii="Arial" w:hAnsi="Arial" w:cs="Arial"/>
                  <w:lang w:val="en-US"/>
                </w:rPr>
                <w:t>https://github.com/fediskhakov/CompEcon</w:t>
              </w:r>
            </w:hyperlink>
          </w:p>
          <w:p w:rsidR="00BA44AB" w:rsidRPr="00E14AC9" w:rsidRDefault="00BA44AB" w:rsidP="00BA44AB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u w:val="single"/>
                <w:lang w:val="en-US"/>
              </w:rPr>
            </w:pPr>
            <w:hyperlink r:id="rId9" w:history="1">
              <w:r w:rsidRPr="00521800">
                <w:rPr>
                  <w:rStyle w:val="a8"/>
                  <w:rFonts w:ascii="Times New Roman" w:eastAsiaTheme="minorHAnsi" w:hAnsi="Times New Roman"/>
                  <w:sz w:val="24"/>
                  <w:szCs w:val="24"/>
                  <w:lang w:val="en-US"/>
                </w:rPr>
                <w:t>https://python.quantecon.org/intro.html</w:t>
              </w:r>
            </w:hyperlink>
          </w:p>
        </w:tc>
      </w:tr>
      <w:tr w:rsidR="00076E2F" w:rsidRPr="00076E2F" w:rsidTr="00ED1DC8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6E2F" w:rsidRDefault="00076E2F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076E2F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Course Instructor</w:t>
            </w: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6E2F" w:rsidRDefault="00CE76FE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Alexander S. Skorobogatov</w:t>
            </w:r>
            <w:bookmarkStart w:id="0" w:name="_GoBack"/>
            <w:bookmarkEnd w:id="0"/>
          </w:p>
        </w:tc>
      </w:tr>
    </w:tbl>
    <w:p w:rsidR="008258EF" w:rsidRPr="007E00FF" w:rsidRDefault="008258EF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8258EF" w:rsidRPr="007E00FF" w:rsidRDefault="008258EF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E441B1" w:rsidRPr="007E00FF" w:rsidRDefault="00E441B1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E441B1" w:rsidRPr="007E00FF" w:rsidRDefault="00E441B1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E441B1" w:rsidRPr="007E00FF" w:rsidRDefault="00E441B1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E441B1" w:rsidRPr="007E00FF" w:rsidRDefault="00E441B1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E441B1" w:rsidRPr="007E00FF" w:rsidRDefault="00E441B1" w:rsidP="00B67A8D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sectPr w:rsidR="00E441B1" w:rsidRPr="007E00FF" w:rsidSect="007A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4D2" w:rsidRDefault="00E574D2" w:rsidP="00B16748">
      <w:pPr>
        <w:spacing w:after="0" w:line="240" w:lineRule="auto"/>
      </w:pPr>
      <w:r>
        <w:separator/>
      </w:r>
    </w:p>
  </w:endnote>
  <w:endnote w:type="continuationSeparator" w:id="0">
    <w:p w:rsidR="00E574D2" w:rsidRDefault="00E574D2" w:rsidP="00B1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4D2" w:rsidRDefault="00E574D2" w:rsidP="00B16748">
      <w:pPr>
        <w:spacing w:after="0" w:line="240" w:lineRule="auto"/>
      </w:pPr>
      <w:r>
        <w:separator/>
      </w:r>
    </w:p>
  </w:footnote>
  <w:footnote w:type="continuationSeparator" w:id="0">
    <w:p w:rsidR="00E574D2" w:rsidRDefault="00E574D2" w:rsidP="00B1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8C7"/>
    <w:multiLevelType w:val="multilevel"/>
    <w:tmpl w:val="32B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48EC"/>
    <w:multiLevelType w:val="multilevel"/>
    <w:tmpl w:val="AB6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D1D8C"/>
    <w:multiLevelType w:val="hybridMultilevel"/>
    <w:tmpl w:val="9A9619A8"/>
    <w:lvl w:ilvl="0" w:tplc="C23E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6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C4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0E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C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E6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82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82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28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D565C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446344A5"/>
    <w:multiLevelType w:val="hybridMultilevel"/>
    <w:tmpl w:val="5F16515E"/>
    <w:lvl w:ilvl="0" w:tplc="1354F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69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2F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41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01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C5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E3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C3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E2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791786"/>
    <w:multiLevelType w:val="hybridMultilevel"/>
    <w:tmpl w:val="3796E012"/>
    <w:lvl w:ilvl="0" w:tplc="C7F6E3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77AB5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BF257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6EA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F485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9926D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FA5F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BE52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2698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6ADF3301"/>
    <w:multiLevelType w:val="multilevel"/>
    <w:tmpl w:val="53FC7304"/>
    <w:lvl w:ilvl="0">
      <w:start w:val="1"/>
      <w:numFmt w:val="decimal"/>
      <w:pStyle w:val="1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487" w:hanging="720"/>
      </w:pPr>
    </w:lvl>
    <w:lvl w:ilvl="3">
      <w:start w:val="1"/>
      <w:numFmt w:val="decimal"/>
      <w:isLgl/>
      <w:lvlText w:val="%1.%2.%3.%4"/>
      <w:lvlJc w:val="left"/>
      <w:pPr>
        <w:ind w:left="2836" w:hanging="720"/>
      </w:pPr>
    </w:lvl>
    <w:lvl w:ilvl="4">
      <w:start w:val="1"/>
      <w:numFmt w:val="decimal"/>
      <w:isLgl/>
      <w:lvlText w:val="%1.%2.%3.%4.%5"/>
      <w:lvlJc w:val="left"/>
      <w:pPr>
        <w:ind w:left="3545" w:hanging="1080"/>
      </w:pPr>
    </w:lvl>
    <w:lvl w:ilvl="5">
      <w:start w:val="1"/>
      <w:numFmt w:val="decimal"/>
      <w:isLgl/>
      <w:lvlText w:val="%1.%2.%3.%4.%5.%6"/>
      <w:lvlJc w:val="left"/>
      <w:pPr>
        <w:ind w:left="3894" w:hanging="1080"/>
      </w:pPr>
    </w:lvl>
    <w:lvl w:ilvl="6">
      <w:start w:val="1"/>
      <w:numFmt w:val="decimal"/>
      <w:isLgl/>
      <w:lvlText w:val="%1.%2.%3.%4.%5.%6.%7"/>
      <w:lvlJc w:val="left"/>
      <w:pPr>
        <w:ind w:left="4603" w:hanging="1440"/>
      </w:pPr>
    </w:lvl>
    <w:lvl w:ilvl="7">
      <w:start w:val="1"/>
      <w:numFmt w:val="decimal"/>
      <w:isLgl/>
      <w:lvlText w:val="%1.%2.%3.%4.%5.%6.%7.%8"/>
      <w:lvlJc w:val="left"/>
      <w:pPr>
        <w:ind w:left="4952" w:hanging="1440"/>
      </w:pPr>
    </w:lvl>
    <w:lvl w:ilvl="8">
      <w:start w:val="1"/>
      <w:numFmt w:val="decimal"/>
      <w:isLgl/>
      <w:lvlText w:val="%1.%2.%3.%4.%5.%6.%7.%8.%9"/>
      <w:lvlJc w:val="left"/>
      <w:pPr>
        <w:ind w:left="5661" w:hanging="180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A27"/>
    <w:rsid w:val="00061BD5"/>
    <w:rsid w:val="000768EC"/>
    <w:rsid w:val="00076E2F"/>
    <w:rsid w:val="00091520"/>
    <w:rsid w:val="000A467A"/>
    <w:rsid w:val="000B1440"/>
    <w:rsid w:val="000D33F3"/>
    <w:rsid w:val="000E0441"/>
    <w:rsid w:val="000F6B1E"/>
    <w:rsid w:val="0011101A"/>
    <w:rsid w:val="001269F5"/>
    <w:rsid w:val="001563B6"/>
    <w:rsid w:val="0017059C"/>
    <w:rsid w:val="001844DE"/>
    <w:rsid w:val="00195401"/>
    <w:rsid w:val="00195ED6"/>
    <w:rsid w:val="001C4700"/>
    <w:rsid w:val="001D5DD7"/>
    <w:rsid w:val="001D7A4A"/>
    <w:rsid w:val="002729A8"/>
    <w:rsid w:val="00281019"/>
    <w:rsid w:val="002C1A1A"/>
    <w:rsid w:val="0033665B"/>
    <w:rsid w:val="0037292F"/>
    <w:rsid w:val="003967E9"/>
    <w:rsid w:val="003D390B"/>
    <w:rsid w:val="004227A7"/>
    <w:rsid w:val="0044543B"/>
    <w:rsid w:val="0044662F"/>
    <w:rsid w:val="004A245E"/>
    <w:rsid w:val="004A2F19"/>
    <w:rsid w:val="004B1D7A"/>
    <w:rsid w:val="004F0F74"/>
    <w:rsid w:val="00502751"/>
    <w:rsid w:val="005265F2"/>
    <w:rsid w:val="00554AD8"/>
    <w:rsid w:val="005552C7"/>
    <w:rsid w:val="0057785A"/>
    <w:rsid w:val="00586663"/>
    <w:rsid w:val="005956A8"/>
    <w:rsid w:val="0060266B"/>
    <w:rsid w:val="0061059C"/>
    <w:rsid w:val="00637C5A"/>
    <w:rsid w:val="006718EB"/>
    <w:rsid w:val="00697266"/>
    <w:rsid w:val="006A0D74"/>
    <w:rsid w:val="006D22EC"/>
    <w:rsid w:val="006D7105"/>
    <w:rsid w:val="006E2F0C"/>
    <w:rsid w:val="00711DCC"/>
    <w:rsid w:val="00712F48"/>
    <w:rsid w:val="0075084B"/>
    <w:rsid w:val="00756B0F"/>
    <w:rsid w:val="00770896"/>
    <w:rsid w:val="00774A15"/>
    <w:rsid w:val="00786FF3"/>
    <w:rsid w:val="00793A8A"/>
    <w:rsid w:val="007A2171"/>
    <w:rsid w:val="007A5D30"/>
    <w:rsid w:val="007C1BFE"/>
    <w:rsid w:val="007C2FE6"/>
    <w:rsid w:val="007E00FF"/>
    <w:rsid w:val="007F3922"/>
    <w:rsid w:val="00805145"/>
    <w:rsid w:val="008258EF"/>
    <w:rsid w:val="00852A39"/>
    <w:rsid w:val="008B18E1"/>
    <w:rsid w:val="008E778D"/>
    <w:rsid w:val="0094586D"/>
    <w:rsid w:val="00983A19"/>
    <w:rsid w:val="009A330F"/>
    <w:rsid w:val="009B7280"/>
    <w:rsid w:val="009E7BB5"/>
    <w:rsid w:val="00A501C1"/>
    <w:rsid w:val="00A5276F"/>
    <w:rsid w:val="00AA4C8A"/>
    <w:rsid w:val="00AB4114"/>
    <w:rsid w:val="00AD110D"/>
    <w:rsid w:val="00B15888"/>
    <w:rsid w:val="00B16748"/>
    <w:rsid w:val="00B46CC1"/>
    <w:rsid w:val="00B67A8D"/>
    <w:rsid w:val="00B937C5"/>
    <w:rsid w:val="00BA44AB"/>
    <w:rsid w:val="00C12F62"/>
    <w:rsid w:val="00C13CAD"/>
    <w:rsid w:val="00C16B67"/>
    <w:rsid w:val="00C42A27"/>
    <w:rsid w:val="00C47752"/>
    <w:rsid w:val="00C64864"/>
    <w:rsid w:val="00CB7C96"/>
    <w:rsid w:val="00CE76FE"/>
    <w:rsid w:val="00D00DB9"/>
    <w:rsid w:val="00D5221A"/>
    <w:rsid w:val="00D85442"/>
    <w:rsid w:val="00D954F9"/>
    <w:rsid w:val="00DA607F"/>
    <w:rsid w:val="00DB57AC"/>
    <w:rsid w:val="00DE2794"/>
    <w:rsid w:val="00DF1FAE"/>
    <w:rsid w:val="00DF23B1"/>
    <w:rsid w:val="00DF4A8C"/>
    <w:rsid w:val="00E004FA"/>
    <w:rsid w:val="00E14AC9"/>
    <w:rsid w:val="00E203B2"/>
    <w:rsid w:val="00E441B1"/>
    <w:rsid w:val="00E574D2"/>
    <w:rsid w:val="00E6039F"/>
    <w:rsid w:val="00E65DCD"/>
    <w:rsid w:val="00E66BE7"/>
    <w:rsid w:val="00E675D8"/>
    <w:rsid w:val="00EB63A7"/>
    <w:rsid w:val="00ED1DC8"/>
    <w:rsid w:val="00ED34F0"/>
    <w:rsid w:val="00EE1CF0"/>
    <w:rsid w:val="00F00892"/>
    <w:rsid w:val="00F064BA"/>
    <w:rsid w:val="00F43F7C"/>
    <w:rsid w:val="00F45B51"/>
    <w:rsid w:val="00F77787"/>
    <w:rsid w:val="00F91F3F"/>
    <w:rsid w:val="00FB1803"/>
    <w:rsid w:val="00FB408C"/>
    <w:rsid w:val="00FC7A84"/>
    <w:rsid w:val="00FE2DD4"/>
    <w:rsid w:val="00FF2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47F3"/>
  <w15:docId w15:val="{88C6B777-1B95-48AA-9093-1F7A6388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A27"/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uiPriority w:val="9"/>
    <w:qFormat/>
    <w:rsid w:val="00C42A27"/>
    <w:pPr>
      <w:numPr>
        <w:numId w:val="1"/>
      </w:numPr>
      <w:spacing w:after="0" w:line="240" w:lineRule="auto"/>
      <w:ind w:left="0" w:firstLine="709"/>
      <w:outlineLvl w:val="0"/>
    </w:pPr>
    <w:rPr>
      <w:rFonts w:ascii="Times New Roman" w:eastAsia="Times New Roman" w:hAnsi="Times New Roman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42A27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0">
    <w:name w:val="List Paragraph"/>
    <w:basedOn w:val="a"/>
    <w:uiPriority w:val="34"/>
    <w:qFormat/>
    <w:rsid w:val="00C42A27"/>
    <w:pPr>
      <w:ind w:left="720"/>
      <w:contextualSpacing/>
    </w:pPr>
  </w:style>
  <w:style w:type="table" w:styleId="a4">
    <w:name w:val="Table Grid"/>
    <w:basedOn w:val="a2"/>
    <w:uiPriority w:val="59"/>
    <w:rsid w:val="00AA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1674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1"/>
    <w:link w:val="a5"/>
    <w:uiPriority w:val="99"/>
    <w:semiHidden/>
    <w:rsid w:val="00B16748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basedOn w:val="a1"/>
    <w:uiPriority w:val="99"/>
    <w:semiHidden/>
    <w:unhideWhenUsed/>
    <w:rsid w:val="00B16748"/>
    <w:rPr>
      <w:vertAlign w:val="superscript"/>
    </w:rPr>
  </w:style>
  <w:style w:type="character" w:styleId="a8">
    <w:name w:val="Hyperlink"/>
    <w:basedOn w:val="a1"/>
    <w:uiPriority w:val="99"/>
    <w:unhideWhenUsed/>
    <w:rsid w:val="00195ED6"/>
    <w:rPr>
      <w:color w:val="0000FF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195ED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983A19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6026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udlist-item">
    <w:name w:val="pud__list-item"/>
    <w:basedOn w:val="a"/>
    <w:rsid w:val="000B14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3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iskhakov/CompEc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korobogat/CompEc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.quantecon.org/intr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СПб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Alex</cp:lastModifiedBy>
  <cp:revision>119</cp:revision>
  <cp:lastPrinted>2016-12-26T08:05:00Z</cp:lastPrinted>
  <dcterms:created xsi:type="dcterms:W3CDTF">2018-09-12T12:15:00Z</dcterms:created>
  <dcterms:modified xsi:type="dcterms:W3CDTF">2022-09-22T09:53:00Z</dcterms:modified>
</cp:coreProperties>
</file>