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>Spring Field Survey 2026</w:t>
      </w:r>
    </w:p>
    <w:p>
      <w:pPr>
        <w:pStyle w:val="BodyText"/>
        <w:bidi w:val="0"/>
        <w:rPr/>
      </w:pPr>
      <w:r>
        <w:rPr>
          <w:rStyle w:val="Emphasis"/>
        </w:rPr>
        <w:t>Soil moisture, crop emergence and recommendations for the Zemgale fields</w:t>
      </w:r>
    </w:p>
    <w:p>
      <w:pPr>
        <w:pStyle w:val="Heading2"/>
        <w:bidi w:val="0"/>
        <w:rPr/>
      </w:pPr>
      <w:r>
        <w:rPr/>
        <w:t>Summary</w:t>
      </w:r>
    </w:p>
    <w:p>
      <w:pPr>
        <w:pStyle w:val="BodyText"/>
        <w:bidi w:val="0"/>
        <w:ind w:hanging="0" w:left="0" w:right="0"/>
        <w:rPr/>
      </w:pPr>
      <w:r>
        <w:rPr/>
        <w:t xml:space="preserve">The spring survey covered </w:t>
      </w:r>
      <w:r>
        <w:rPr>
          <w:rStyle w:val="Strong"/>
        </w:rPr>
        <w:t>42 fields</w:t>
      </w:r>
      <w:r>
        <w:rPr/>
        <w:t xml:space="preserve"> across three farms. Emergence was 6% faster than in 2025, and soil moisture stayed within the optimal band on most fields.</w:t>
      </w:r>
      <w:hyperlink w:anchor="fn1">
        <w:bookmarkStart w:id="0" w:name="r1"/>
        <w:bookmarkEnd w:id="0"/>
        <w:r>
          <w:rPr>
            <w:rStyle w:val="Hyperlink"/>
            <w:position w:val="8"/>
            <w:sz w:val="19"/>
          </w:rPr>
          <w:t>1</w:t>
        </w:r>
      </w:hyperlink>
    </w:p>
    <w:p>
      <w:pPr>
        <w:pStyle w:val="Heading2"/>
        <w:bidi w:val="0"/>
        <w:rPr/>
      </w:pPr>
      <w:r>
        <w:rPr/>
        <w:t>Method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Sampled moisture at 10 cm and 30 cm depth.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Counted emerged plants in five 1 m² frames per field.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Compared with the 2025 baseline.</w:t>
      </w:r>
    </w:p>
    <w:p>
      <w:pPr>
        <w:pStyle w:val="Heading2"/>
        <w:bidi w:val="0"/>
        <w:rPr/>
      </w:pPr>
      <w:r>
        <w:rPr/>
        <w:t>Results</w:t>
      </w:r>
    </w:p>
    <w:p>
      <w:pPr>
        <w:pStyle w:val="BodyText"/>
        <w:bidi w:val="0"/>
        <w:spacing w:before="0" w:after="0"/>
        <w:jc w:val="center"/>
        <w:rPr/>
      </w:pPr>
      <w:r>
        <w:rPr/>
        <w:t>Table 1: Average values per farm</w:t>
      </w:r>
    </w:p>
    <w:tbl>
      <w:tblPr>
        <w:tblW w:w="487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33"/>
        <w:gridCol w:w="719"/>
        <w:gridCol w:w="1498"/>
        <w:gridCol w:w="1527"/>
      </w:tblGrid>
      <w:tr>
        <w:trPr>
          <w:tblHeader w:val="true"/>
        </w:trPr>
        <w:tc>
          <w:tcPr>
            <w:tcW w:w="113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Farm</w:t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Fields</w:t>
            </w:r>
          </w:p>
        </w:tc>
        <w:tc>
          <w:tcPr>
            <w:tcW w:w="149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Moisture (%)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Plants per m²</w:t>
            </w:r>
          </w:p>
        </w:tc>
      </w:tr>
      <w:tr>
        <w:trPr/>
        <w:tc>
          <w:tcPr>
            <w:tcW w:w="1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Ozolkalni</w:t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18</w:t>
            </w:r>
          </w:p>
        </w:tc>
        <w:tc>
          <w:tcPr>
            <w:tcW w:w="1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24.1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312</w:t>
            </w:r>
          </w:p>
        </w:tc>
      </w:tr>
      <w:tr>
        <w:trPr/>
        <w:tc>
          <w:tcPr>
            <w:tcW w:w="1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Bērzciems</w:t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14</w:t>
            </w:r>
          </w:p>
        </w:tc>
        <w:tc>
          <w:tcPr>
            <w:tcW w:w="1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21.7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298</w:t>
            </w:r>
          </w:p>
        </w:tc>
      </w:tr>
      <w:tr>
        <w:trPr/>
        <w:tc>
          <w:tcPr>
            <w:tcW w:w="1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Lejas</w:t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10</w:t>
            </w:r>
          </w:p>
        </w:tc>
        <w:tc>
          <w:tcPr>
            <w:tcW w:w="1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26.3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305</w:t>
            </w:r>
          </w:p>
        </w:tc>
      </w:tr>
    </w:tbl>
    <w:p>
      <w:pPr>
        <w:pStyle w:val="BodyText"/>
        <w:bidi w:val="0"/>
        <w:rPr/>
      </w:pPr>
      <w:r>
        <w:rPr/>
        <w:t>Revenue for the season is projected as shown below.</w:t>
      </w:r>
    </w:p>
    <w:p>
      <w:pPr>
        <w:pStyle w:val="BodyText"/>
        <w:bidi w:val="0"/>
        <w:rPr/>
      </w:pPr>
      <w:r>
        <w:rPr/>
        <w:drawing>
          <wp:inline distT="0" distB="0" distL="0" distR="0">
            <wp:extent cx="12192000" cy="5715000"/>
            <wp:effectExtent l="0" t="0" r="0" b="0"/>
            <wp:docPr id="1" name="Image1" descr="Projected revenue by quar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rojected revenue by quarter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571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bidi w:val="0"/>
        <w:rPr/>
      </w:pPr>
      <w:r>
        <w:rPr/>
        <w:t>Recommendations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Delay nitrogen application on Lejas by one week.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Repeat the moisture survey after the first heavy rain.</w:t>
      </w:r>
    </w:p>
    <w:p>
      <w:pPr>
        <w:pStyle w:val="BlockQuotation"/>
        <w:bidi w:val="0"/>
        <w:rPr/>
      </w:pPr>
      <w:r>
        <w:rPr/>
        <w:t>Good soil structure is worth more than any single input.</w:t>
      </w:r>
    </w:p>
    <w:p>
      <w:pPr>
        <w:pStyle w:val="BodyText"/>
        <w:bidi w:val="0"/>
        <w:rPr/>
      </w:pPr>
      <w:r>
        <w:rPr/>
        <w:t xml:space="preserve">Contact: </w:t>
      </w:r>
      <w:hyperlink r:id="rId3">
        <w:r>
          <w:rPr>
            <w:rStyle w:val="Hyperlink"/>
          </w:rPr>
          <w:t>anna@example.org</w:t>
        </w:r>
      </w:hyperlink>
    </w:p>
    <w:p>
      <w:pPr>
        <w:pStyle w:val="HorizontalLine"/>
        <w:bidi w:val="0"/>
        <w:rPr/>
      </w:pPr>
      <w:r>
        <w:rPr/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 w:right="0"/>
        <w:rPr/>
      </w:pPr>
      <w:bookmarkStart w:id="1" w:name="fn1"/>
      <w:bookmarkEnd w:id="1"/>
      <w:r>
        <w:rPr/>
        <w:t xml:space="preserve">Measured with calibrated TDR probes. </w:t>
      </w:r>
      <w:hyperlink w:anchor="r1">
        <w:r>
          <w:rPr>
            <w:rStyle w:val="Hyperlink"/>
          </w:rPr>
          <w:t>↩</w:t>
        </w:r>
      </w:hyperlink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lv-LV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sz w:val="24"/>
      <w:szCs w:val="24"/>
      <w:lang w:val="lv-LV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Linux Libertine G" w:cs="Noto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Linux Libertine G" w:cs="Noto Sans"/>
      <w:b/>
      <w:bCs/>
      <w:sz w:val="36"/>
      <w:szCs w:val="36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private/tmp/cdqa/fixtures/revenue.png" TargetMode="External"/><Relationship Id="rId3" Type="http://schemas.openxmlformats.org/officeDocument/2006/relationships/hyperlink" Target="mailto:anna@example.org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Kalniņa</dc:creator>
  <dc:description>Results of the spring soil and crop survey.</dc:description>
  <dc:language>lv-LV</dc:language>
  <cp:lastModifiedBy/>
  <cp:revision>0</cp:revision>
  <dc:subject/>
  <dc:title>Spring Field Survey 2026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