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Knowledge of the Law</w:t>
      </w:r>
    </w:p>
    <w:p>
      <w:r>
        <w:t xml:space="preserve">Members must understand and comply with all applicable laws, rules, and regulations. When a conflict exists, follow the stricter requirement.</w:t>
      </w:r>
    </w:p>
    <w:p>
      <w:pPr>
        <w:pStyle w:val="Heading1"/>
      </w:pPr>
      <w:r>
        <w:t xml:space="preserve">Independence and Objectivity</w:t>
      </w:r>
    </w:p>
    <w:p>
      <w:r>
        <w:t xml:space="preserve">Use reasonable care to maintain independence and objectivity. Do not offer, solicit, or accept gifts that reasonably could be expected to compromise that independence.</w:t>
      </w:r>
    </w:p>
    <w:p>
      <w:pPr>
        <w:pStyle w:val="Heading1"/>
      </w:pPr>
      <w:r>
        <w:t xml:space="preserve">Misrepresentation</w:t>
      </w:r>
    </w:p>
    <w:p>
      <w:r>
        <w:t xml:space="preserve">Do not knowingly make any misrepresentations relating to investment analysis, recommendations, actions, or other professional activities.</w:t>
      </w:r>
    </w:p>
    <w:p>
      <w:pPr>
        <w:pStyle w:val="Heading1"/>
      </w:pPr>
      <w:r>
        <w:t xml:space="preserve">Misconduct</w:t>
      </w:r>
    </w:p>
    <w:p>
      <w:r>
        <w:t xml:space="preserve">Do not engage in any professional conduct involving dishonesty, fraud, or deceit, or commit any act that reflects adversely on professional reputation.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