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Q1. A research analyst copies a table from a sell-side report without attribution in a client memo. What Standard is most clearly at issue in this situation?</w:t>
      </w:r>
    </w:p>
    <w:p>
      <w:r>
        <w:t xml:space="preserve">A) I(C) Misrepresentation, including plagiarism of others' work</w:t>
      </w:r>
    </w:p>
    <w:p>
      <w:r>
        <w:t xml:space="preserve">B) II(A) Material Nonpublic Information obtained from the sell side</w:t>
      </w:r>
    </w:p>
    <w:p>
      <w:r>
        <w:t xml:space="preserve">C) III(B) Fair Dealing among the analyst's own clients</w:t>
      </w:r>
    </w:p>
    <w:p>
      <w:r>
        <w:t xml:space="preserve">Answer: A</w:t>
      </w:r>
    </w:p>
    <w:p>
      <w:r>
        <w:t xml:space="preserve">Explanation: Using another's work without attribution is plagiarism and a misrepresentation under Standard I(C).</w:t>
      </w:r>
    </w:p>
    <w:p>
      <w:r>
        <w:t xml:space="preserve"/>
      </w:r>
    </w:p>
    <w:p>
      <w:r>
        <w:t xml:space="preserve">Q2) A supervisor learns a junior is front-running client orders and does nothing for two weeks. Which Standard best describes the supervisor's failure here?</w:t>
      </w:r>
    </w:p>
    <w:p>
      <w:r>
        <w:t xml:space="preserve">A) IV(C) Responsibilities of Supervisors to detect and prevent violations</w:t>
      </w:r>
    </w:p>
    <w:p>
      <w:r>
        <w:t xml:space="preserve">B) III(A) Loyalty, Prudence, and Care owed only to the junior</w:t>
      </w:r>
    </w:p>
    <w:p>
      <w:r>
        <w:t xml:space="preserve">C) I(B) Independence and Objectivity of the trading desk</w:t>
      </w:r>
    </w:p>
    <w:p>
      <w:r>
        <w:t xml:space="preserve">Answer: A</w:t>
      </w:r>
    </w:p>
    <w:p>
      <w:r>
        <w:t xml:space="preserve">Explanation: Supervisors must implement reasonable procedures to detect and prevent violations and must act when they learn of a breach.</w:t>
      </w:r>
    </w:p>
    <w:p>
      <w:r>
        <w:t xml:space="preserve"/>
      </w:r>
    </w:p>
    <w:p>
      <w:r>
        <w:t xml:space="preserve">Question 3: A candidate discusses specific exam questions with a colleague who sits the next window. This conduct most directly violates which rule?</w:t>
      </w:r>
    </w:p>
    <w:p>
      <w:r>
        <w:t xml:space="preserve">A) VII(A) Conduct as Participants in CFA Institute Programs</w:t>
      </w:r>
    </w:p>
    <w:p>
      <w:r>
        <w:t xml:space="preserve">B) I(D) Misconduct limited to criminal convictions only</w:t>
      </w:r>
    </w:p>
    <w:p>
      <w:r>
        <w:t xml:space="preserve">C) V(B) Communication with Clients and Prospective Clients</w:t>
      </w:r>
    </w:p>
    <w:p>
      <w:r>
        <w:t xml:space="preserve">Answer: A</w:t>
      </w:r>
    </w:p>
    <w:p>
      <w:r>
        <w:t xml:space="preserve">Explanation: Sharing confidential exam information violates Standard VII(A) regarding conduct as participants in CFA Institute programs.</w:t>
      </w:r>
    </w:p>
    <w:p>
      <w:r>
        <w:t xml:space="preserve"/>
      </w:r>
    </w:p>
    <w:p>
      <w:r>
        <w:t xml:space="preserve">4. A member sits on a public company's board and buys the stock before a vote she knows will pass. What should she do instead of trading on that knowledge?</w:t>
      </w:r>
    </w:p>
    <w:p>
      <w:r>
        <w:t xml:space="preserve">A) Trade only after the vote is public and information is no longer MNPI</w:t>
      </w:r>
    </w:p>
    <w:p>
      <w:r>
        <w:t xml:space="preserve">B) Trade immediately for clients because the vote is nearly certain</w:t>
      </w:r>
    </w:p>
    <w:p>
      <w:r>
        <w:t xml:space="preserve">C) Tell her largest client so they can trade first</w:t>
      </w:r>
    </w:p>
    <w:p>
      <w:r>
        <w:t xml:space="preserve">Answer: A</w:t>
      </w:r>
    </w:p>
    <w:p>
      <w:r>
        <w:t xml:space="preserve">Explanation: Board knowledge of a pending vote is material nonpublic information; she must wait until it is public under II(A).</w:t>
      </w:r>
    </w:p>
    <w:sectPr/>
  </w:body>
</w:document>
</file>