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Q1. A member must keep client information confidential even when using that information only as a classroom teaching example without consent.</w:t>
      </w:r>
    </w:p>
    <w:p>
      <w:r>
        <w:t xml:space="preserve">A) True — classroom use still requires consent or another permitted exception</w:t>
      </w:r>
    </w:p>
    <w:p>
      <w:r>
        <w:t xml:space="preserve">B) False — teaching examples are always exempt from confidentiality</w:t>
      </w:r>
    </w:p>
    <w:p>
      <w:r>
        <w:t xml:space="preserve">Standard: Standard III(E)</w:t>
      </w:r>
    </w:p>
    <w:p>
      <w:r>
        <w:t xml:space="preserve">Answer: A</w:t>
      </w:r>
    </w:p>
    <w:p>
      <w:r>
        <w:t xml:space="preserve">Explanation: Client information remains confidential unless the client consents, the activity is illegal, or the law requires disclosure.</w:t>
      </w:r>
    </w:p>
    <w:p>
      <w:r>
        <w:t xml:space="preserve"/>
      </w:r>
    </w:p>
    <w:p>
      <w:r>
        <w:t xml:space="preserve">Q2. Promising a specific return or guaranteed outperformance is consistent with Standard I(C) when the manager is highly confident.</w:t>
      </w:r>
    </w:p>
    <w:p>
      <w:r>
        <w:t xml:space="preserve">A) True — confidence is a sufficient basis for a performance guarantee</w:t>
      </w:r>
    </w:p>
    <w:p>
      <w:r>
        <w:t xml:space="preserve">B) False — guaranteeing a return misrepresents what can reasonably be promised</w:t>
      </w:r>
    </w:p>
    <w:p>
      <w:r>
        <w:t xml:space="preserve">Standard: Standard I(C)</w:t>
      </w:r>
    </w:p>
    <w:p>
      <w:r>
        <w:t xml:space="preserve">Answer: B</w:t>
      </w:r>
    </w:p>
    <w:p>
      <w:r>
        <w:t xml:space="preserve">Explanation: Promising a specific return or outperformance is a misrepresentation of what investment results can be guaranteed.</w:t>
      </w:r>
    </w:p>
    <w:sectPr/>
  </w:body>
</w:document>
</file>