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2A23"/>
          <w:spacing w:val="50"/>
          <w:sz w:val="36"/>
          <w:szCs w:val="36"/>
        </w:rPr>
        <w:t xml:space="preserve">IMSS AFRICA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E2A23"/>
          <w:sz w:val="26"/>
          <w:szCs w:val="26"/>
        </w:rPr>
        <w:t xml:space="preserve">SECURITY ANNEX — Procedure for Carbon Recovery to Elution (SOP-051)</w:t>
      </w:r>
    </w:p>
    <w:p>
      <w:pPr>
        <w:spacing w:after="100"/>
        <w:rPr>
          <w:color w:val="5F6B66"/>
          <w:sz w:val="18"/>
          <w:szCs w:val="18"/>
        </w:rPr>
      </w:pPr>
      <w:r>
        <w:rPr>
          <w:rFonts w:ascii="Arial" w:cs="Arial" w:eastAsia="Arial" w:hAnsi="Arial"/>
          <w:color w:val="5F6B66"/>
          <w:sz w:val="18"/>
          <w:szCs w:val="18"/>
        </w:rPr>
        <w:t xml:space="preserve">Reference: AGC-AGB-PRO-04-SOP-051 Rev 03 (09-09-2026), Processing Department. Annex IMSS-ANX-051 Rev A, October 2026. Proposed for incorporation as a "Security Risk / Security Control" column pair in Rev 04.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E2A23"/>
          <w:sz w:val="24"/>
          <w:szCs w:val="24"/>
        </w:rPr>
        <w:t xml:space="preserve">1. Why this annex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Loaded carbon is the highest-grade gold-bearing material handled outside the gold room. SOP-051 moves it from CIL to elution over several hours, with an operator taking open grab samples every 30 minutes, cleaning the recovery screen (carbon fines), opening a drain valve, and running spray water across the screen. Rev 03 contains comprehensive safety controls and no security controls. This annex adds the security layer step-by-step, keyed to the Gold Code control standard, so it can be adopted in the same Step-Hazard-Control format the Processing Department already uses.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E2A23"/>
          <w:sz w:val="24"/>
          <w:szCs w:val="24"/>
        </w:rPr>
        <w:t xml:space="preserve">2. Pre-start additions (to section 6.3)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Notify Plant Security of the recovery: column, estimated carbon mass, operator roles, start time. Security confirms CCTV/VMD on the column, screen and drain discharge point are live before the first valve is opened.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Draw numbered tamper-evident sample bags and a custody sheet from Security.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Confirm the column drain valve and screen-area trench grates are locked and the keys are signed out.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E2A23"/>
          <w:sz w:val="24"/>
          <w:szCs w:val="24"/>
        </w:rPr>
        <w:t xml:space="preserve">3. Step security controls (to be added to the table in section 6.4)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00"/>
        <w:gridCol w:w="5300"/>
        <w:gridCol w:w="1700"/>
      </w:tblGrid>
      <w:tr>
        <w:trPr>
          <w:tblHeader/>
        </w:trPr>
        <w:tc>
          <w:tcPr>
            <w:tcW w:type="dxa" w:w="600"/>
            <w:shd w:fill="0E2A2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900"/>
            <w:shd w:fill="0E2A2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Job step (SOP-051)</w:t>
            </w:r>
          </w:p>
        </w:tc>
        <w:tc>
          <w:tcPr>
            <w:tcW w:type="dxa" w:w="3500"/>
            <w:shd w:fill="0E2A2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5300"/>
            <w:shd w:fill="0E2A2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Security control</w:t>
            </w:r>
          </w:p>
        </w:tc>
        <w:tc>
          <w:tcPr>
            <w:tcW w:type="dxa" w:w="1700"/>
            <w:shd w:fill="0E2A2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Gold Code §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Open 50-XV-01 (drain valve) on the recovery column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Drain valve left open or opened outside a recovery allows carbon / fines to be drained to an uncontrolled point.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Valve locked when not in a recovery; key under security control; opening logged by CRO with time; drain discharge point under CCTV.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§15a, §5, §16.7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Open top column manual valves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Transfer outside the notified window is unobserved.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Security notified of recovery start (time, operator role, column) before step 1; CCTV/VMD on the column confirmed live by the control room.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§15a, §3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Ensure recovery screen at CIL is clean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Residual carbon from a previous recovery on the screen deck is unaccounted material.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Pre-start screen inspection photographed in the IMSS sample app; any residual carbon bagged, sealed and sampled as MC-4.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§15a, §15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4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Prepare a sample bag for loaded carbon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Open bag on the deck is a collection means; grab samples are high-grade GBM.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Use tamper-evident sealed sample bags issued and numbered by security; bag numbers recorded against the recovery.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§15a, §16.6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Start spray water 40-XV-01 / 40-XV-02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Run-off carries carbon fines to drain / trench.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Screen run-off routed to a secured sump; sump sampled by security after each recovery; trench grates locked.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§15a, §6/7, §15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6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Start recovery screen 40-SN-01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Screen oversize / deck accessible to hand collection.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Two-person rule at the screen during recovery; screen deck under a dedicated camera with detail view.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§15a, §3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7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Start recovery pump 40-PP-01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Pump line, flanges and sumps are diversion points.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Line walked and photographed before start; flanged joints under camera; pump sump locked.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§15a, §6/7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8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Grab sample every 30 min throughout recovery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Repeated, unwitnessed handling of loaded carbon over hours.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Each grab sample sealed immediately, logged in the IMSS sample app (MC-4 → elution supervisor, witnessed), chain of custody signed; samples held in a locked container until handover.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§15a, §16.6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9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Measure column level with measuring rope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Level record is the only in-process mass check.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Level readings recorded with time; used in the CIL → elution mass reconciliation (step 10).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§15a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10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Column full — stop pump, screen, spray water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End of recovery is the point at which mass can be reconciled.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Security notified of stop; carbon mass received at elution reconciled against CIL estimate; variance beyond the agreed tolerance raised as an Incident (class: metallurgical accounting variance).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§15a, §18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11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Clean the screen after recovery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Screen cleanings are the richest fines on the plant and are routinely hosed away.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Cleanings swept, bagged, sealed and sampled (MC-4/MC-5); no hosing to drain; cleaning performed under camera with two persons; bag handed to security with custody record.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7"/>
                <w:szCs w:val="17"/>
              </w:rPr>
              <w:t xml:space="preserve">§15a, §15, §16.6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0E2A23"/>
          <w:sz w:val="24"/>
          <w:szCs w:val="24"/>
        </w:rPr>
        <w:t xml:space="preserve">4. Records (additions to section 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IMSS Plant Sample Capture records for each grab sample and for screen cleanings (sample ID, seal, custody, routing MC-4).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Security notification log: recovery start / stop, with CRO acknowledgement.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CIL → elution carbon mass reconciliation per recovery, with tolerance and sign-off by the Senior Metallurgist and Plant Security.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IMSS Incident Capture record where a variance exceeds tolerance, a seal is broken, or a step is performed without the required notification, witness or camera.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E2A23"/>
          <w:sz w:val="24"/>
          <w:szCs w:val="24"/>
        </w:rPr>
        <w:t xml:space="preserve">5. Roles (additions to section 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Plant Security Officer — receives notification, confirms surveillance, issues sealed bags, witnesses sampling and screen cleaning, takes custody of samples and cleanings.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Control Room Operator — logs start/stop and acknowledges; records any CCTV interruption during the recovery as a plant condition.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Senior Metallurgist — owns the mass reconciliation and the tolerance; raises variances.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E2A23"/>
          <w:sz w:val="24"/>
          <w:szCs w:val="24"/>
        </w:rPr>
        <w:t xml:space="preserve">6. Training linkage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Operators and security officers performing or witnessing SOP-051 are trained and drilled through IMSS Academy scenarios S-05 (custody sampling at the recovery screen) and I-05 (unaccounted carbon fines after screen cleaning), and certified at L1/L2 against Gold Code section 15a.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E2A23"/>
          <w:sz w:val="24"/>
          <w:szCs w:val="24"/>
        </w:rPr>
        <w:t xml:space="preserve">7. Observations on Rev 03 for the Processing Department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The hazard and control text is identical for all eleven steps; step-specific hazards (e.g. cyanide exposure at the screen, rope use at the column) are not yet captured.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Section 10 of Rev 03 lists equipment tags, sample frequencies and acceptance criteria as unverified; the mass-reconciliation tolerance in this annex should be set when those are confirmed.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Rev 03 is unsigned; the annex is offered so that security controls enter the procedure at the same approval, rather than as a separate document that can be omitted.</w:t>
      </w:r>
    </w:p>
    <w:p>
      <w:pPr>
        <w:spacing w:after="100"/>
        <w:rPr>
          <w:color w:val="5F6B66"/>
          <w:sz w:val="17"/>
          <w:szCs w:val="17"/>
        </w:rPr>
      </w:pPr>
      <w:r>
        <w:rPr>
          <w:rFonts w:ascii="Arial" w:cs="Arial" w:eastAsia="Arial" w:hAnsi="Arial"/>
          <w:color w:val="5F6B66"/>
          <w:sz w:val="17"/>
          <w:szCs w:val="17"/>
        </w:rPr>
        <w:t xml:space="preserve">Control standard reference: Gold Plant Risk &amp; Security Audit, P. van Schalkwyk — used with permission. Section 15a (Carbon recovery &amp; elution) is an IMSS extension of that standard.</w:t>
      </w:r>
    </w:p>
    <w:sectPr>
      <w:headerReference w:type="default" r:id="rId6"/>
      <w:footerReference w:type="default" r:id="rId7"/>
      <w:pgSz w:w="16838" w:h="11906" w:orient="landscape"/>
      <w:pgMar w:top="1000" w:right="1100" w:bottom="9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66"/>
        <w:sz w:val="16"/>
        <w:szCs w:val="16"/>
      </w:rPr>
      <w:t xml:space="preserve">IMSS Africa · Client site: Bibiani · Confidential · Page </w:t>
    </w:r>
    <w:r>
      <w:rPr>
        <w:rFonts w:ascii="Arial" w:cs="Arial" w:eastAsia="Arial" w:hAnsi="Arial"/>
        <w:color w:val="5F6B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8"/>
      </w:pBdr>
    </w:pPr>
    <w:r>
      <w:rPr>
        <w:rFonts w:ascii="Arial" w:cs="Arial" w:eastAsia="Arial" w:hAnsi="Arial"/>
        <w:color w:val="5F6B66"/>
        <w:sz w:val="16"/>
        <w:szCs w:val="16"/>
      </w:rPr>
      <w:t xml:space="preserve">IMSS AFRICA  ·  Security Annex to AGC-AGB-PRO-04-SOP-051 Rev 03  ·  Proposed for Rev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2026-10-23T14:51:15.396Z</dcterms:created>
  <dcterms:modified xsi:type="dcterms:W3CDTF">2026-10-23T14:51:15.400Z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