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63" w:rsidRDefault="008F06FC" w:rsidP="00A64A63">
      <w:pPr>
        <w:rPr>
          <w:lang w:val="en-GB"/>
        </w:rPr>
      </w:pPr>
      <w:r>
        <w:rPr>
          <w:lang w:val="en-GB"/>
        </w:rPr>
        <w:t xml:space="preserve">This is Factor Analysis report on Military expenditures of 6 countries. Factor Analysis provide good results especially on intangible not concrete variables. And one of those is a country’s defence tendency. So, </w:t>
      </w:r>
      <w:r w:rsidR="00377DA3">
        <w:rPr>
          <w:lang w:val="en-GB"/>
        </w:rPr>
        <w:t>I picked</w:t>
      </w:r>
      <w:r>
        <w:rPr>
          <w:lang w:val="en-GB"/>
        </w:rPr>
        <w:t xml:space="preserve"> the military expenditures of 6</w:t>
      </w:r>
      <w:r w:rsidR="00916A1D">
        <w:rPr>
          <w:lang w:val="en-GB"/>
        </w:rPr>
        <w:t xml:space="preserve"> countries in US dollars between </w:t>
      </w:r>
      <w:r>
        <w:rPr>
          <w:lang w:val="en-GB"/>
        </w:rPr>
        <w:t>1962</w:t>
      </w:r>
      <w:r w:rsidR="006B2A6F">
        <w:rPr>
          <w:lang w:val="en-GB"/>
        </w:rPr>
        <w:t xml:space="preserve"> and 2018. </w:t>
      </w:r>
      <w:r w:rsidR="00FF7D58">
        <w:rPr>
          <w:lang w:val="en-GB"/>
        </w:rPr>
        <w:t>(</w:t>
      </w:r>
      <w:hyperlink r:id="rId5" w:history="1">
        <w:r w:rsidR="00FF7D58">
          <w:rPr>
            <w:rStyle w:val="Hyperlink"/>
          </w:rPr>
          <w:t>https://www.kaggle.com/nitinsss/military-expenditure-of-countries-19602019</w:t>
        </w:r>
      </w:hyperlink>
      <w:r w:rsidR="00FF7D58">
        <w:rPr>
          <w:lang w:val="en-GB"/>
        </w:rPr>
        <w:t>)</w:t>
      </w:r>
      <w:bookmarkStart w:id="0" w:name="_GoBack"/>
      <w:bookmarkEnd w:id="0"/>
      <w:r w:rsidR="00FF7D58">
        <w:rPr>
          <w:lang w:val="en-GB"/>
        </w:rPr>
        <w:t xml:space="preserve"> </w:t>
      </w:r>
      <w:r w:rsidR="006B2A6F">
        <w:rPr>
          <w:lang w:val="en-GB"/>
        </w:rPr>
        <w:t xml:space="preserve">Those are USA, </w:t>
      </w:r>
      <w:r w:rsidR="006B2A6F" w:rsidRPr="006B2A6F">
        <w:rPr>
          <w:lang w:val="en-GB"/>
        </w:rPr>
        <w:t>AUS</w:t>
      </w:r>
      <w:r w:rsidR="006B2A6F">
        <w:rPr>
          <w:lang w:val="en-GB"/>
        </w:rPr>
        <w:t xml:space="preserve">, </w:t>
      </w:r>
      <w:r w:rsidR="006B2A6F" w:rsidRPr="006B2A6F">
        <w:rPr>
          <w:lang w:val="en-GB"/>
        </w:rPr>
        <w:t>CAN</w:t>
      </w:r>
      <w:r w:rsidR="006B2A6F">
        <w:rPr>
          <w:lang w:val="en-GB"/>
        </w:rPr>
        <w:t xml:space="preserve">, </w:t>
      </w:r>
      <w:r w:rsidR="006B2A6F" w:rsidRPr="006B2A6F">
        <w:rPr>
          <w:lang w:val="en-GB"/>
        </w:rPr>
        <w:t>DEU</w:t>
      </w:r>
      <w:r w:rsidR="006B2A6F">
        <w:rPr>
          <w:lang w:val="en-GB"/>
        </w:rPr>
        <w:t xml:space="preserve">, </w:t>
      </w:r>
      <w:r w:rsidR="006B2A6F" w:rsidRPr="006B2A6F">
        <w:rPr>
          <w:lang w:val="en-GB"/>
        </w:rPr>
        <w:t>FRA</w:t>
      </w:r>
      <w:r w:rsidR="006B2A6F">
        <w:rPr>
          <w:lang w:val="en-GB"/>
        </w:rPr>
        <w:t xml:space="preserve">, and </w:t>
      </w:r>
      <w:r w:rsidR="006B2A6F" w:rsidRPr="006B2A6F">
        <w:rPr>
          <w:lang w:val="en-GB"/>
        </w:rPr>
        <w:t>GBR</w:t>
      </w:r>
      <w:r w:rsidR="006B2A6F">
        <w:rPr>
          <w:lang w:val="en-GB"/>
        </w:rPr>
        <w:t xml:space="preserve">. </w:t>
      </w:r>
      <w:r w:rsidR="00377DA3">
        <w:rPr>
          <w:lang w:val="en-GB"/>
        </w:rPr>
        <w:t xml:space="preserve">Obviously the </w:t>
      </w:r>
      <w:r w:rsidR="00025494">
        <w:rPr>
          <w:lang w:val="en-GB"/>
        </w:rPr>
        <w:t>latter</w:t>
      </w:r>
      <w:r w:rsidR="00377DA3">
        <w:rPr>
          <w:lang w:val="en-GB"/>
        </w:rPr>
        <w:t xml:space="preserve"> three are EU countries. </w:t>
      </w:r>
      <w:r w:rsidR="006B2A6F">
        <w:rPr>
          <w:lang w:val="en-GB"/>
        </w:rPr>
        <w:t xml:space="preserve">So the question in my mind is if there is </w:t>
      </w:r>
      <w:r w:rsidR="00377DA3">
        <w:rPr>
          <w:lang w:val="en-GB"/>
        </w:rPr>
        <w:t>contrast in military</w:t>
      </w:r>
      <w:r w:rsidR="00004121">
        <w:rPr>
          <w:lang w:val="en-GB"/>
        </w:rPr>
        <w:t xml:space="preserve"> expenditures</w:t>
      </w:r>
      <w:r w:rsidR="00377DA3">
        <w:rPr>
          <w:lang w:val="en-GB"/>
        </w:rPr>
        <w:t xml:space="preserve"> between EU and Non-EU countries</w:t>
      </w:r>
      <w:r w:rsidR="00004121">
        <w:rPr>
          <w:lang w:val="en-GB"/>
        </w:rPr>
        <w:t xml:space="preserve">. </w:t>
      </w:r>
      <w:r w:rsidR="00A64A63">
        <w:rPr>
          <w:lang w:val="en-GB"/>
        </w:rPr>
        <w:t>(</w:t>
      </w:r>
      <w:r w:rsidR="00A64A63" w:rsidRPr="00A64A63">
        <w:rPr>
          <w:i/>
          <w:lang w:val="en-GB"/>
        </w:rPr>
        <w:t>Data source: Stockholm International Peace Research Institute (SIPRI) The World Bank Database</w:t>
      </w:r>
      <w:r w:rsidR="00A64A63">
        <w:rPr>
          <w:lang w:val="en-GB"/>
        </w:rPr>
        <w:t>)</w:t>
      </w:r>
      <w:r>
        <w:rPr>
          <w:lang w:val="en-GB"/>
        </w:rPr>
        <w:t xml:space="preserve"> (I used Factor Analysis GUI </w:t>
      </w:r>
      <w:hyperlink r:id="rId6" w:history="1">
        <w:r>
          <w:rPr>
            <w:rStyle w:val="Hyperlink"/>
          </w:rPr>
          <w:t>https://github.com/aslanismailgit/Factor-Analysis-MATLAB-GUI</w:t>
        </w:r>
      </w:hyperlink>
      <w:r>
        <w:t>)</w:t>
      </w:r>
    </w:p>
    <w:p w:rsidR="00915F65" w:rsidRDefault="00004121">
      <w:pPr>
        <w:rPr>
          <w:lang w:val="en-GB"/>
        </w:rPr>
      </w:pPr>
      <w:r>
        <w:rPr>
          <w:lang w:val="en-GB"/>
        </w:rPr>
        <w:t>The results are interesting.</w:t>
      </w:r>
      <w:r w:rsidR="00582B1D">
        <w:rPr>
          <w:lang w:val="en-GB"/>
        </w:rPr>
        <w:t xml:space="preserve"> Below </w:t>
      </w:r>
      <w:r w:rsidR="00377DA3">
        <w:rPr>
          <w:lang w:val="en-GB"/>
        </w:rPr>
        <w:t>are</w:t>
      </w:r>
      <w:r w:rsidR="00582B1D">
        <w:rPr>
          <w:lang w:val="en-GB"/>
        </w:rPr>
        <w:t xml:space="preserve"> the loadings, rotated loading</w:t>
      </w:r>
      <w:r w:rsidR="00377DA3">
        <w:rPr>
          <w:lang w:val="en-GB"/>
        </w:rPr>
        <w:t>s</w:t>
      </w:r>
      <w:r w:rsidR="00582B1D">
        <w:rPr>
          <w:lang w:val="en-GB"/>
        </w:rPr>
        <w:t xml:space="preserve">, communalities, specific variances, </w:t>
      </w:r>
      <w:r w:rsidR="00D965F4">
        <w:rPr>
          <w:lang w:val="en-GB"/>
        </w:rPr>
        <w:t xml:space="preserve">cumulative </w:t>
      </w:r>
      <w:r w:rsidR="00582B1D">
        <w:rPr>
          <w:lang w:val="en-GB"/>
        </w:rPr>
        <w:t>variance explained by each factor.</w:t>
      </w:r>
    </w:p>
    <w:p w:rsidR="00582B1D" w:rsidRDefault="0028651D">
      <w:pPr>
        <w:rPr>
          <w:noProof/>
          <w:lang w:eastAsia="tr-TR"/>
        </w:rPr>
      </w:pPr>
      <w:r w:rsidRPr="0028651D">
        <w:rPr>
          <w:noProof/>
          <w:lang w:eastAsia="tr-TR"/>
        </w:rPr>
        <w:drawing>
          <wp:inline distT="0" distB="0" distL="0" distR="0">
            <wp:extent cx="5760720" cy="3700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1D" w:rsidRDefault="0028651D">
      <w:pPr>
        <w:rPr>
          <w:noProof/>
          <w:lang w:eastAsia="tr-TR"/>
        </w:rPr>
      </w:pPr>
    </w:p>
    <w:p w:rsidR="00004121" w:rsidRDefault="007427DB">
      <w:pPr>
        <w:rPr>
          <w:lang w:val="en-GB"/>
        </w:rPr>
      </w:pPr>
      <w:r>
        <w:rPr>
          <w:lang w:val="en-GB"/>
        </w:rPr>
        <w:t>Results:</w:t>
      </w:r>
    </w:p>
    <w:p w:rsidR="007427DB" w:rsidRDefault="007427DB" w:rsidP="007427D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PC method explains 98% of the total variance</w:t>
      </w:r>
      <w:r w:rsidR="00377DA3">
        <w:rPr>
          <w:lang w:val="en-GB"/>
        </w:rPr>
        <w:t xml:space="preserve"> with 2 factor.</w:t>
      </w:r>
    </w:p>
    <w:p w:rsidR="007427DB" w:rsidRDefault="007427DB" w:rsidP="007427D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ML method explains 97% of the total variance</w:t>
      </w:r>
      <w:r w:rsidR="00377DA3">
        <w:rPr>
          <w:lang w:val="en-GB"/>
        </w:rPr>
        <w:t xml:space="preserve"> with 2 factor.</w:t>
      </w:r>
    </w:p>
    <w:p w:rsidR="00D965F4" w:rsidRDefault="00D965F4" w:rsidP="00D965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Two factor model explains most of the common variance. </w:t>
      </w:r>
    </w:p>
    <w:p w:rsidR="00FD7D37" w:rsidRDefault="007427DB" w:rsidP="007427D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Specific variance after factor model is </w:t>
      </w:r>
      <w:r w:rsidR="00A64A63">
        <w:rPr>
          <w:lang w:val="en-GB"/>
        </w:rPr>
        <w:t>“</w:t>
      </w:r>
      <w:r>
        <w:rPr>
          <w:lang w:val="en-GB"/>
        </w:rPr>
        <w:t>quite</w:t>
      </w:r>
      <w:r w:rsidR="00A64A63">
        <w:rPr>
          <w:lang w:val="en-GB"/>
        </w:rPr>
        <w:t>”</w:t>
      </w:r>
      <w:r>
        <w:rPr>
          <w:lang w:val="en-GB"/>
        </w:rPr>
        <w:t xml:space="preserve"> small</w:t>
      </w:r>
      <w:r w:rsidR="00377DA3">
        <w:rPr>
          <w:lang w:val="en-GB"/>
        </w:rPr>
        <w:t>.</w:t>
      </w:r>
    </w:p>
    <w:p w:rsidR="0028651D" w:rsidRDefault="00FD7D37" w:rsidP="007427D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Factor 1</w:t>
      </w:r>
      <w:r w:rsidR="0028651D">
        <w:rPr>
          <w:lang w:val="en-GB"/>
        </w:rPr>
        <w:t>:</w:t>
      </w:r>
    </w:p>
    <w:p w:rsidR="00FD7D37" w:rsidRDefault="00FD7D37" w:rsidP="0028651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(PC and ML, un-rotated)</w:t>
      </w:r>
      <w:r w:rsidR="0028651D" w:rsidRPr="0028651D">
        <w:rPr>
          <w:lang w:val="en-GB"/>
        </w:rPr>
        <w:t xml:space="preserve"> </w:t>
      </w:r>
      <w:r w:rsidR="0028651D">
        <w:rPr>
          <w:lang w:val="en-GB"/>
        </w:rPr>
        <w:t>Factor 1</w:t>
      </w:r>
      <w:r>
        <w:rPr>
          <w:lang w:val="en-GB"/>
        </w:rPr>
        <w:t xml:space="preserve"> has the same direction</w:t>
      </w:r>
      <w:r w:rsidR="00B26D4D">
        <w:rPr>
          <w:lang w:val="en-GB"/>
        </w:rPr>
        <w:t xml:space="preserve"> and </w:t>
      </w:r>
      <w:r w:rsidR="00377DA3">
        <w:rPr>
          <w:lang w:val="en-GB"/>
        </w:rPr>
        <w:t xml:space="preserve">almost </w:t>
      </w:r>
      <w:r w:rsidR="00B26D4D">
        <w:rPr>
          <w:lang w:val="en-GB"/>
        </w:rPr>
        <w:t>the same magnitude</w:t>
      </w:r>
      <w:r>
        <w:rPr>
          <w:lang w:val="en-GB"/>
        </w:rPr>
        <w:t xml:space="preserve"> for all variables (indication of common tendency for all variables</w:t>
      </w:r>
      <w:r w:rsidR="0028651D">
        <w:rPr>
          <w:lang w:val="en-GB"/>
        </w:rPr>
        <w:t xml:space="preserve"> (or </w:t>
      </w:r>
      <w:r w:rsidR="00D965F4">
        <w:rPr>
          <w:lang w:val="en-GB"/>
        </w:rPr>
        <w:t>countries</w:t>
      </w:r>
      <w:r w:rsidR="0028651D">
        <w:rPr>
          <w:lang w:val="en-GB"/>
        </w:rPr>
        <w:t>)</w:t>
      </w:r>
      <w:r>
        <w:rPr>
          <w:lang w:val="en-GB"/>
        </w:rPr>
        <w:t>)</w:t>
      </w:r>
    </w:p>
    <w:p w:rsidR="0028651D" w:rsidRDefault="0028651D" w:rsidP="0028651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(PC and ML, rotated) Factor 1 has “bigger” loading coefficients for </w:t>
      </w:r>
      <w:r w:rsidR="00B26D4D">
        <w:rPr>
          <w:lang w:val="en-GB"/>
        </w:rPr>
        <w:t>USA, AUS, CAN</w:t>
      </w:r>
      <w:r>
        <w:rPr>
          <w:lang w:val="en-GB"/>
        </w:rPr>
        <w:t xml:space="preserve"> (this will be more </w:t>
      </w:r>
      <w:proofErr w:type="gramStart"/>
      <w:r>
        <w:rPr>
          <w:lang w:val="en-GB"/>
        </w:rPr>
        <w:t>clear</w:t>
      </w:r>
      <w:proofErr w:type="gramEnd"/>
      <w:r>
        <w:rPr>
          <w:lang w:val="en-GB"/>
        </w:rPr>
        <w:t xml:space="preserve"> with the loading plot).  </w:t>
      </w:r>
      <w:r w:rsidR="00377DA3">
        <w:rPr>
          <w:lang w:val="en-GB"/>
        </w:rPr>
        <w:t>There is contrast between EU and non-EU countries.</w:t>
      </w:r>
    </w:p>
    <w:p w:rsidR="0028651D" w:rsidRDefault="00FD7D37" w:rsidP="007427D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Factor 2</w:t>
      </w:r>
      <w:r w:rsidR="0028651D">
        <w:rPr>
          <w:lang w:val="en-GB"/>
        </w:rPr>
        <w:t>:</w:t>
      </w:r>
    </w:p>
    <w:p w:rsidR="00FD7D37" w:rsidRDefault="00FD7D37" w:rsidP="0028651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(PC and ML, un-rotated  factors) </w:t>
      </w:r>
      <w:r w:rsidR="0028651D">
        <w:rPr>
          <w:lang w:val="en-GB"/>
        </w:rPr>
        <w:t xml:space="preserve">Factor 2 </w:t>
      </w:r>
      <w:r>
        <w:rPr>
          <w:lang w:val="en-GB"/>
        </w:rPr>
        <w:t xml:space="preserve">has different direction for three countries </w:t>
      </w:r>
    </w:p>
    <w:p w:rsidR="0028651D" w:rsidRDefault="00FD7D37" w:rsidP="0028651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(PC and ML, rotated  factors) </w:t>
      </w:r>
      <w:r w:rsidR="0028651D">
        <w:rPr>
          <w:lang w:val="en-GB"/>
        </w:rPr>
        <w:t xml:space="preserve">Factor 2 </w:t>
      </w:r>
      <w:r>
        <w:rPr>
          <w:lang w:val="en-GB"/>
        </w:rPr>
        <w:t xml:space="preserve">has </w:t>
      </w:r>
      <w:r w:rsidR="00377DA3">
        <w:rPr>
          <w:lang w:val="en-GB"/>
        </w:rPr>
        <w:t>a contrast in</w:t>
      </w:r>
      <w:r>
        <w:rPr>
          <w:lang w:val="en-GB"/>
        </w:rPr>
        <w:t xml:space="preserve"> loading</w:t>
      </w:r>
      <w:r w:rsidR="00377DA3">
        <w:rPr>
          <w:lang w:val="en-GB"/>
        </w:rPr>
        <w:t>s</w:t>
      </w:r>
      <w:r>
        <w:rPr>
          <w:lang w:val="en-GB"/>
        </w:rPr>
        <w:t xml:space="preserve"> </w:t>
      </w:r>
      <w:r w:rsidR="00377DA3">
        <w:rPr>
          <w:lang w:val="en-GB"/>
        </w:rPr>
        <w:t>for EU and Non-EU countries.</w:t>
      </w:r>
      <w:r>
        <w:rPr>
          <w:lang w:val="en-GB"/>
        </w:rPr>
        <w:t xml:space="preserve"> (</w:t>
      </w:r>
      <w:r w:rsidR="00377DA3">
        <w:rPr>
          <w:lang w:val="en-GB"/>
        </w:rPr>
        <w:t>This</w:t>
      </w:r>
      <w:r>
        <w:rPr>
          <w:lang w:val="en-GB"/>
        </w:rPr>
        <w:t xml:space="preserve"> will be </w:t>
      </w:r>
      <w:proofErr w:type="gramStart"/>
      <w:r>
        <w:rPr>
          <w:lang w:val="en-GB"/>
        </w:rPr>
        <w:t>more clear</w:t>
      </w:r>
      <w:proofErr w:type="gramEnd"/>
      <w:r>
        <w:rPr>
          <w:lang w:val="en-GB"/>
        </w:rPr>
        <w:t xml:space="preserve"> with the loading plot)</w:t>
      </w:r>
      <w:r w:rsidR="0028651D">
        <w:rPr>
          <w:lang w:val="en-GB"/>
        </w:rPr>
        <w:t xml:space="preserve">.  </w:t>
      </w:r>
    </w:p>
    <w:p w:rsidR="00551C3B" w:rsidRDefault="00551C3B" w:rsidP="00551C3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rotated factors show that along the axes 1 (formerly x, now latent factor 1) three countries ha</w:t>
      </w:r>
      <w:r w:rsidR="00B26D4D">
        <w:rPr>
          <w:lang w:val="en-GB"/>
        </w:rPr>
        <w:t>ve</w:t>
      </w:r>
      <w:r>
        <w:rPr>
          <w:lang w:val="en-GB"/>
        </w:rPr>
        <w:t xml:space="preserve"> different loadings than the other </w:t>
      </w:r>
      <w:r w:rsidR="00B26D4D">
        <w:rPr>
          <w:lang w:val="en-GB"/>
        </w:rPr>
        <w:t>three</w:t>
      </w:r>
      <w:r>
        <w:rPr>
          <w:lang w:val="en-GB"/>
        </w:rPr>
        <w:t xml:space="preserve">. That is also true for </w:t>
      </w:r>
      <w:proofErr w:type="spellStart"/>
      <w:r>
        <w:rPr>
          <w:lang w:val="en-GB"/>
        </w:rPr>
        <w:t>axes</w:t>
      </w:r>
      <w:proofErr w:type="spellEnd"/>
      <w:r>
        <w:rPr>
          <w:lang w:val="en-GB"/>
        </w:rPr>
        <w:t xml:space="preserve"> 2 (formerly y, now latent factor 2). See below plots.</w:t>
      </w:r>
    </w:p>
    <w:p w:rsidR="00FD7D37" w:rsidRDefault="00FD7D37" w:rsidP="00FD7D37">
      <w:pPr>
        <w:pStyle w:val="ListParagraph"/>
        <w:rPr>
          <w:lang w:val="en-GB"/>
        </w:rPr>
      </w:pPr>
    </w:p>
    <w:p w:rsidR="00FD7D37" w:rsidRDefault="00FD7D37" w:rsidP="00FD7D37">
      <w:pPr>
        <w:rPr>
          <w:lang w:val="en-GB"/>
        </w:rPr>
      </w:pPr>
      <w:r>
        <w:rPr>
          <w:lang w:val="en-GB"/>
        </w:rPr>
        <w:t>Conclusions</w:t>
      </w:r>
      <w:r w:rsidR="00460CD7">
        <w:rPr>
          <w:lang w:val="en-GB"/>
        </w:rPr>
        <w:t xml:space="preserve"> and Interpretations</w:t>
      </w:r>
    </w:p>
    <w:p w:rsidR="00FD7D37" w:rsidRDefault="00FD7D37" w:rsidP="00FD7D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Two factor model can be retained with above results</w:t>
      </w:r>
    </w:p>
    <w:p w:rsidR="00FD7D37" w:rsidRDefault="00FD7D37" w:rsidP="00FD7D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factor can be explained (named) as “General Defence Tendency”</w:t>
      </w:r>
      <w:r w:rsidR="00B26D4D">
        <w:rPr>
          <w:lang w:val="en-GB"/>
        </w:rPr>
        <w:t>. (</w:t>
      </w:r>
      <w:r w:rsidR="00B26D4D" w:rsidRPr="00357F2E">
        <w:rPr>
          <w:i/>
          <w:lang w:val="en-GB"/>
        </w:rPr>
        <w:t xml:space="preserve">Regarding Factor </w:t>
      </w:r>
      <w:proofErr w:type="gramStart"/>
      <w:r w:rsidR="00B26D4D" w:rsidRPr="00357F2E">
        <w:rPr>
          <w:i/>
          <w:lang w:val="en-GB"/>
        </w:rPr>
        <w:t>1  (</w:t>
      </w:r>
      <w:proofErr w:type="gramEnd"/>
      <w:r w:rsidR="00B26D4D" w:rsidRPr="00357F2E">
        <w:rPr>
          <w:i/>
          <w:lang w:val="en-GB"/>
        </w:rPr>
        <w:t xml:space="preserve">rotated), in fact, there is also a difference in magnitude for three countries. </w:t>
      </w:r>
      <w:r w:rsidR="00357F2E" w:rsidRPr="00357F2E">
        <w:rPr>
          <w:i/>
          <w:lang w:val="en-GB"/>
        </w:rPr>
        <w:t xml:space="preserve">A </w:t>
      </w:r>
      <w:r w:rsidR="00B26D4D" w:rsidRPr="00357F2E">
        <w:rPr>
          <w:i/>
          <w:lang w:val="en-GB"/>
        </w:rPr>
        <w:t xml:space="preserve">more proper naming could be done, it might be </w:t>
      </w:r>
      <w:r w:rsidR="00357F2E" w:rsidRPr="00357F2E">
        <w:rPr>
          <w:i/>
          <w:lang w:val="en-GB"/>
        </w:rPr>
        <w:t>“L</w:t>
      </w:r>
      <w:r w:rsidR="00B26D4D" w:rsidRPr="00357F2E">
        <w:rPr>
          <w:i/>
          <w:lang w:val="en-GB"/>
        </w:rPr>
        <w:t>eading defence tendency</w:t>
      </w:r>
      <w:r w:rsidR="00357F2E" w:rsidRPr="00357F2E">
        <w:rPr>
          <w:i/>
          <w:lang w:val="en-GB"/>
        </w:rPr>
        <w:t>”. More subject matter expert opinion is required</w:t>
      </w:r>
      <w:r w:rsidR="00B26D4D">
        <w:rPr>
          <w:lang w:val="en-GB"/>
        </w:rPr>
        <w:t>)</w:t>
      </w:r>
    </w:p>
    <w:p w:rsidR="00D965F4" w:rsidRDefault="00FD7D37" w:rsidP="00D965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Second factor can be “</w:t>
      </w:r>
      <w:r w:rsidR="00231FBC">
        <w:rPr>
          <w:lang w:val="en-GB"/>
        </w:rPr>
        <w:t>EU-</w:t>
      </w:r>
      <w:proofErr w:type="spellStart"/>
      <w:r w:rsidR="0092139B">
        <w:rPr>
          <w:lang w:val="en-GB"/>
        </w:rPr>
        <w:t>Non</w:t>
      </w:r>
      <w:r>
        <w:rPr>
          <w:lang w:val="en-GB"/>
        </w:rPr>
        <w:t>E</w:t>
      </w:r>
      <w:r w:rsidR="00231FBC">
        <w:rPr>
          <w:lang w:val="en-GB"/>
        </w:rPr>
        <w:t>U</w:t>
      </w:r>
      <w:proofErr w:type="spellEnd"/>
      <w:r w:rsidR="00231FBC">
        <w:rPr>
          <w:lang w:val="en-GB"/>
        </w:rPr>
        <w:t xml:space="preserve"> (E</w:t>
      </w:r>
      <w:r>
        <w:rPr>
          <w:lang w:val="en-GB"/>
        </w:rPr>
        <w:t>uropean</w:t>
      </w:r>
      <w:r w:rsidR="00231FBC">
        <w:rPr>
          <w:lang w:val="en-GB"/>
        </w:rPr>
        <w:t>)</w:t>
      </w:r>
      <w:r>
        <w:rPr>
          <w:lang w:val="en-GB"/>
        </w:rPr>
        <w:t xml:space="preserve"> Defence Tendency”</w:t>
      </w:r>
    </w:p>
    <w:p w:rsidR="00460CD7" w:rsidRDefault="00460CD7" w:rsidP="00D965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Even though the rotated factor 1(s) indicate 2 different </w:t>
      </w:r>
      <w:r w:rsidR="00D7659D">
        <w:rPr>
          <w:lang w:val="en-GB"/>
        </w:rPr>
        <w:t>groups (contrast in magnitude), some sources says (</w:t>
      </w:r>
      <w:proofErr w:type="spellStart"/>
      <w:r w:rsidR="00D7659D">
        <w:rPr>
          <w:lang w:val="en-GB"/>
        </w:rPr>
        <w:t>wichern</w:t>
      </w:r>
      <w:proofErr w:type="spellEnd"/>
      <w:r w:rsidR="00D7659D">
        <w:rPr>
          <w:lang w:val="en-GB"/>
        </w:rPr>
        <w:t xml:space="preserve">, p547) </w:t>
      </w:r>
      <w:r w:rsidR="00D7659D" w:rsidRPr="00D7659D">
        <w:rPr>
          <w:i/>
          <w:lang w:val="en-GB"/>
        </w:rPr>
        <w:t>“A general factor (that is, one on which all variables load highly) tends to be destroyed after the rotati</w:t>
      </w:r>
      <w:r w:rsidR="00357F2E">
        <w:rPr>
          <w:i/>
          <w:lang w:val="en-GB"/>
        </w:rPr>
        <w:t>on. For this reason, i</w:t>
      </w:r>
      <w:r w:rsidR="00D7659D" w:rsidRPr="00D7659D">
        <w:rPr>
          <w:i/>
          <w:lang w:val="en-GB"/>
        </w:rPr>
        <w:t>n cases wh</w:t>
      </w:r>
      <w:r w:rsidR="00357F2E">
        <w:rPr>
          <w:i/>
          <w:lang w:val="en-GB"/>
        </w:rPr>
        <w:t>ere a general factor is evident</w:t>
      </w:r>
      <w:r w:rsidR="00D7659D" w:rsidRPr="00D7659D">
        <w:rPr>
          <w:i/>
          <w:lang w:val="en-GB"/>
        </w:rPr>
        <w:t>, an orthogonal rotation is sometimes performed with the general factor loading fixed. Stock-price example”</w:t>
      </w:r>
      <w:r w:rsidR="00D7659D">
        <w:rPr>
          <w:lang w:val="en-GB"/>
        </w:rPr>
        <w:t xml:space="preserve">. So it can be kept as </w:t>
      </w:r>
      <w:r w:rsidR="00357F2E">
        <w:rPr>
          <w:lang w:val="en-GB"/>
        </w:rPr>
        <w:t>“</w:t>
      </w:r>
      <w:r w:rsidR="00D7659D">
        <w:rPr>
          <w:lang w:val="en-GB"/>
        </w:rPr>
        <w:t xml:space="preserve">General </w:t>
      </w:r>
      <w:r w:rsidR="00357F2E">
        <w:rPr>
          <w:lang w:val="en-GB"/>
        </w:rPr>
        <w:t>Defence Tendency”.</w:t>
      </w:r>
    </w:p>
    <w:p w:rsidR="00A4692E" w:rsidRPr="00D965F4" w:rsidRDefault="00A4692E" w:rsidP="00D965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Trying to make some comments on predicted scores shown on the plots below, I think </w:t>
      </w:r>
      <w:r w:rsidR="00D7659D">
        <w:rPr>
          <w:lang w:val="en-GB"/>
        </w:rPr>
        <w:t>it can be said</w:t>
      </w:r>
      <w:r>
        <w:rPr>
          <w:lang w:val="en-GB"/>
        </w:rPr>
        <w:t xml:space="preserve"> </w:t>
      </w:r>
      <w:r w:rsidR="003749D4">
        <w:rPr>
          <w:lang w:val="en-GB"/>
        </w:rPr>
        <w:t>that</w:t>
      </w:r>
      <w:r>
        <w:rPr>
          <w:lang w:val="en-GB"/>
        </w:rPr>
        <w:t xml:space="preserve"> </w:t>
      </w:r>
      <w:r w:rsidR="003749D4">
        <w:rPr>
          <w:lang w:val="en-GB"/>
        </w:rPr>
        <w:t>the groups</w:t>
      </w:r>
      <w:r w:rsidR="00357F2E">
        <w:rPr>
          <w:lang w:val="en-GB"/>
        </w:rPr>
        <w:t>’</w:t>
      </w:r>
      <w:r w:rsidR="003749D4">
        <w:rPr>
          <w:lang w:val="en-GB"/>
        </w:rPr>
        <w:t xml:space="preserve"> </w:t>
      </w:r>
      <w:r>
        <w:rPr>
          <w:lang w:val="en-GB"/>
        </w:rPr>
        <w:t xml:space="preserve">defence tendencies </w:t>
      </w:r>
      <w:r w:rsidR="003749D4">
        <w:rPr>
          <w:lang w:val="en-GB"/>
        </w:rPr>
        <w:t xml:space="preserve">overcame the other group </w:t>
      </w:r>
      <w:r>
        <w:rPr>
          <w:lang w:val="en-GB"/>
        </w:rPr>
        <w:t xml:space="preserve">during some time periods. </w:t>
      </w:r>
      <w:r w:rsidR="00B76278">
        <w:rPr>
          <w:lang w:val="en-GB"/>
        </w:rPr>
        <w:t>(each point representing that years defence tendency score in terms of factor 1</w:t>
      </w:r>
      <w:r w:rsidR="00357F2E">
        <w:rPr>
          <w:lang w:val="en-GB"/>
        </w:rPr>
        <w:t xml:space="preserve"> (General)</w:t>
      </w:r>
      <w:r w:rsidR="00B76278">
        <w:rPr>
          <w:lang w:val="en-GB"/>
        </w:rPr>
        <w:t xml:space="preserve"> and </w:t>
      </w:r>
      <w:r w:rsidR="00D7659D">
        <w:rPr>
          <w:lang w:val="en-GB"/>
        </w:rPr>
        <w:t>2</w:t>
      </w:r>
      <w:r w:rsidR="00357F2E">
        <w:rPr>
          <w:lang w:val="en-GB"/>
        </w:rPr>
        <w:t>(EU)</w:t>
      </w:r>
      <w:r w:rsidR="00B76278">
        <w:rPr>
          <w:lang w:val="en-GB"/>
        </w:rPr>
        <w:t>, if one factor has greater value than the other</w:t>
      </w:r>
      <w:r w:rsidR="00357F2E">
        <w:rPr>
          <w:lang w:val="en-GB"/>
        </w:rPr>
        <w:t xml:space="preserve"> one</w:t>
      </w:r>
      <w:r w:rsidR="00B76278">
        <w:rPr>
          <w:lang w:val="en-GB"/>
        </w:rPr>
        <w:t xml:space="preserve"> for a specific year, that means </w:t>
      </w:r>
      <w:r w:rsidR="00357F2E">
        <w:rPr>
          <w:lang w:val="en-GB"/>
        </w:rPr>
        <w:t xml:space="preserve">in </w:t>
      </w:r>
      <w:r w:rsidR="00B76278">
        <w:rPr>
          <w:lang w:val="en-GB"/>
        </w:rPr>
        <w:t xml:space="preserve">this year  </w:t>
      </w:r>
      <w:r w:rsidR="00357F2E">
        <w:rPr>
          <w:lang w:val="en-GB"/>
        </w:rPr>
        <w:t>that</w:t>
      </w:r>
      <w:r w:rsidR="00D7659D">
        <w:rPr>
          <w:lang w:val="en-GB"/>
        </w:rPr>
        <w:t xml:space="preserve"> group</w:t>
      </w:r>
      <w:r w:rsidR="00357F2E">
        <w:rPr>
          <w:lang w:val="en-GB"/>
        </w:rPr>
        <w:t>’</w:t>
      </w:r>
      <w:r w:rsidR="00D7659D">
        <w:rPr>
          <w:lang w:val="en-GB"/>
        </w:rPr>
        <w:t>s tendency is higher)</w:t>
      </w:r>
    </w:p>
    <w:p w:rsidR="007427DB" w:rsidRPr="00D965F4" w:rsidRDefault="00D965F4" w:rsidP="00D965F4">
      <w:pPr>
        <w:rPr>
          <w:lang w:val="en-GB"/>
        </w:rPr>
      </w:pPr>
      <w:r w:rsidRPr="00D965F4">
        <w:rPr>
          <w:lang w:val="en-GB"/>
        </w:rPr>
        <w:t xml:space="preserve">Regarding </w:t>
      </w:r>
      <w:r>
        <w:rPr>
          <w:lang w:val="en-GB"/>
        </w:rPr>
        <w:t xml:space="preserve">the results, </w:t>
      </w:r>
      <w:r w:rsidRPr="00D965F4">
        <w:rPr>
          <w:lang w:val="en-GB"/>
        </w:rPr>
        <w:t>FA provide</w:t>
      </w:r>
      <w:r>
        <w:rPr>
          <w:lang w:val="en-GB"/>
        </w:rPr>
        <w:t>d</w:t>
      </w:r>
      <w:r w:rsidRPr="00D965F4">
        <w:rPr>
          <w:lang w:val="en-GB"/>
        </w:rPr>
        <w:t xml:space="preserve"> a good insight into the defence</w:t>
      </w:r>
      <w:r>
        <w:rPr>
          <w:lang w:val="en-GB"/>
        </w:rPr>
        <w:t xml:space="preserve"> tendencies of countries, especially </w:t>
      </w:r>
      <w:r w:rsidR="00E860D0">
        <w:rPr>
          <w:lang w:val="en-GB"/>
        </w:rPr>
        <w:t xml:space="preserve">taking </w:t>
      </w:r>
      <w:r>
        <w:rPr>
          <w:lang w:val="en-GB"/>
        </w:rPr>
        <w:t xml:space="preserve">geographic </w:t>
      </w:r>
      <w:r w:rsidR="003F7A72">
        <w:rPr>
          <w:lang w:val="en-GB"/>
        </w:rPr>
        <w:t>and/</w:t>
      </w:r>
      <w:r>
        <w:rPr>
          <w:lang w:val="en-GB"/>
        </w:rPr>
        <w:t>or political differences</w:t>
      </w:r>
      <w:r w:rsidR="00E860D0">
        <w:rPr>
          <w:lang w:val="en-GB"/>
        </w:rPr>
        <w:t xml:space="preserve"> into </w:t>
      </w:r>
      <w:r w:rsidR="00D7659D">
        <w:rPr>
          <w:lang w:val="en-GB"/>
        </w:rPr>
        <w:t>account</w:t>
      </w:r>
      <w:r>
        <w:rPr>
          <w:lang w:val="en-GB"/>
        </w:rPr>
        <w:t>.</w:t>
      </w:r>
    </w:p>
    <w:p w:rsidR="00D965F4" w:rsidRDefault="00323FDA" w:rsidP="00D965F4">
      <w:pPr>
        <w:rPr>
          <w:lang w:val="en-GB"/>
        </w:rPr>
      </w:pPr>
      <w:r>
        <w:rPr>
          <w:lang w:val="en-GB"/>
        </w:rPr>
        <w:t>T</w:t>
      </w:r>
      <w:r w:rsidR="00D965F4">
        <w:rPr>
          <w:lang w:val="en-GB"/>
        </w:rPr>
        <w:t>o be honest, I have read about the “wow criteria” and I was a bit suspicious about that. However, with above results I see</w:t>
      </w:r>
      <w:r w:rsidR="00357F2E">
        <w:rPr>
          <w:lang w:val="en-GB"/>
        </w:rPr>
        <w:t>,</w:t>
      </w:r>
      <w:r w:rsidR="00D965F4">
        <w:rPr>
          <w:lang w:val="en-GB"/>
        </w:rPr>
        <w:t xml:space="preserve"> </w:t>
      </w:r>
      <w:r w:rsidR="00357F2E">
        <w:rPr>
          <w:lang w:val="en-GB"/>
        </w:rPr>
        <w:t xml:space="preserve">I can say </w:t>
      </w:r>
      <w:r w:rsidR="00D965F4">
        <w:rPr>
          <w:lang w:val="en-GB"/>
        </w:rPr>
        <w:t>FA is powerful tool that each analyst should have in his/her backpack.</w:t>
      </w:r>
      <w:r w:rsidR="00D965F4" w:rsidRPr="00D965F4">
        <w:rPr>
          <w:lang w:val="en-GB"/>
        </w:rPr>
        <w:t xml:space="preserve"> </w:t>
      </w:r>
    </w:p>
    <w:p w:rsidR="00D7659D" w:rsidRDefault="00D7659D">
      <w:pPr>
        <w:rPr>
          <w:lang w:val="en-GB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7"/>
      </w:tblGrid>
      <w:tr w:rsidR="00F35C59" w:rsidTr="00CB2E20">
        <w:tc>
          <w:tcPr>
            <w:tcW w:w="4673" w:type="dxa"/>
          </w:tcPr>
          <w:p w:rsidR="00F35C59" w:rsidRDefault="004E6AF4">
            <w:pPr>
              <w:rPr>
                <w:lang w:val="en-GB"/>
              </w:rPr>
            </w:pPr>
            <w:r w:rsidRPr="004E6AF4">
              <w:rPr>
                <w:noProof/>
                <w:lang w:eastAsia="tr-TR"/>
              </w:rPr>
              <w:drawing>
                <wp:inline distT="0" distB="0" distL="0" distR="0">
                  <wp:extent cx="2830195" cy="21088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F35C59" w:rsidRDefault="004E6AF4">
            <w:pPr>
              <w:rPr>
                <w:lang w:val="en-GB"/>
              </w:rPr>
            </w:pPr>
            <w:r w:rsidRPr="004E6AF4">
              <w:rPr>
                <w:noProof/>
                <w:lang w:eastAsia="tr-TR"/>
              </w:rPr>
              <w:drawing>
                <wp:inline distT="0" distB="0" distL="0" distR="0">
                  <wp:extent cx="2830195" cy="2108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C59" w:rsidRDefault="00F35C59">
      <w:pPr>
        <w:rPr>
          <w:lang w:val="en-GB"/>
        </w:rPr>
      </w:pPr>
    </w:p>
    <w:p w:rsidR="000B30C4" w:rsidRDefault="000B30C4">
      <w:pPr>
        <w:rPr>
          <w:lang w:val="en-GB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7"/>
      </w:tblGrid>
      <w:tr w:rsidR="000B30C4" w:rsidTr="00CB2E20">
        <w:tc>
          <w:tcPr>
            <w:tcW w:w="4673" w:type="dxa"/>
          </w:tcPr>
          <w:p w:rsidR="000B30C4" w:rsidRDefault="0099497E" w:rsidP="00460CD7">
            <w:pPr>
              <w:rPr>
                <w:lang w:val="en-GB"/>
              </w:rPr>
            </w:pPr>
            <w:r w:rsidRPr="0099497E">
              <w:rPr>
                <w:noProof/>
                <w:lang w:eastAsia="tr-TR"/>
              </w:rPr>
              <w:lastRenderedPageBreak/>
              <w:drawing>
                <wp:inline distT="0" distB="0" distL="0" distR="0">
                  <wp:extent cx="2830195" cy="21088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B30C4" w:rsidRDefault="004132F1" w:rsidP="00460CD7">
            <w:pPr>
              <w:rPr>
                <w:lang w:val="en-GB"/>
              </w:rPr>
            </w:pPr>
            <w:r w:rsidRPr="004132F1">
              <w:rPr>
                <w:noProof/>
                <w:lang w:eastAsia="tr-TR"/>
              </w:rPr>
              <w:drawing>
                <wp:inline distT="0" distB="0" distL="0" distR="0">
                  <wp:extent cx="2830195" cy="21088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0C4" w:rsidRDefault="000B30C4">
      <w:pPr>
        <w:rPr>
          <w:lang w:val="en-GB"/>
        </w:rPr>
      </w:pPr>
    </w:p>
    <w:p w:rsidR="00D7659D" w:rsidRDefault="00D7659D">
      <w:pPr>
        <w:rPr>
          <w:lang w:val="en-GB"/>
        </w:rPr>
      </w:pPr>
    </w:p>
    <w:p w:rsidR="00D7659D" w:rsidRDefault="00236EBC">
      <w:pPr>
        <w:rPr>
          <w:lang w:val="en-GB"/>
        </w:rPr>
      </w:pPr>
      <w:r w:rsidRPr="00236EBC">
        <w:rPr>
          <w:noProof/>
          <w:lang w:eastAsia="tr-TR"/>
        </w:rPr>
        <w:drawing>
          <wp:inline distT="0" distB="0" distL="0" distR="0" wp14:anchorId="30627E85" wp14:editId="724CFE53">
            <wp:extent cx="5760720" cy="3291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C" w:rsidRDefault="00236EBC">
      <w:pPr>
        <w:rPr>
          <w:lang w:val="en-GB"/>
        </w:rPr>
      </w:pPr>
    </w:p>
    <w:p w:rsidR="00D965F4" w:rsidRDefault="00D7659D">
      <w:pPr>
        <w:rPr>
          <w:lang w:val="en-GB"/>
        </w:rPr>
      </w:pPr>
      <w:r w:rsidRPr="00D7659D">
        <w:rPr>
          <w:noProof/>
          <w:lang w:eastAsia="tr-TR"/>
        </w:rPr>
        <w:lastRenderedPageBreak/>
        <w:drawing>
          <wp:inline distT="0" distB="0" distL="0" distR="0" wp14:anchorId="4FCB2DB5" wp14:editId="5F60D6F7">
            <wp:extent cx="576072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A4" w:rsidRDefault="001D41A4">
      <w:pPr>
        <w:rPr>
          <w:lang w:val="en-GB"/>
        </w:rPr>
      </w:pPr>
    </w:p>
    <w:p w:rsidR="00551C3B" w:rsidRDefault="00551C3B">
      <w:pPr>
        <w:rPr>
          <w:lang w:val="en-GB"/>
        </w:rPr>
      </w:pPr>
    </w:p>
    <w:sectPr w:rsidR="00551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BODG C+ Times LT 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C86"/>
    <w:multiLevelType w:val="hybridMultilevel"/>
    <w:tmpl w:val="001EE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7FD6"/>
    <w:multiLevelType w:val="hybridMultilevel"/>
    <w:tmpl w:val="AD0AD094"/>
    <w:lvl w:ilvl="0" w:tplc="BFD26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51290"/>
    <w:multiLevelType w:val="hybridMultilevel"/>
    <w:tmpl w:val="7FB260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F3420"/>
    <w:multiLevelType w:val="hybridMultilevel"/>
    <w:tmpl w:val="4948A12A"/>
    <w:lvl w:ilvl="0" w:tplc="0C043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E10EB"/>
    <w:multiLevelType w:val="hybridMultilevel"/>
    <w:tmpl w:val="BDC835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1F"/>
    <w:rsid w:val="00004121"/>
    <w:rsid w:val="00025494"/>
    <w:rsid w:val="000513DF"/>
    <w:rsid w:val="000B30C4"/>
    <w:rsid w:val="00162B1F"/>
    <w:rsid w:val="001D41A4"/>
    <w:rsid w:val="00231FBC"/>
    <w:rsid w:val="00236EBC"/>
    <w:rsid w:val="0027122B"/>
    <w:rsid w:val="0028651D"/>
    <w:rsid w:val="002F21FA"/>
    <w:rsid w:val="0031676E"/>
    <w:rsid w:val="00323FDA"/>
    <w:rsid w:val="00357F2E"/>
    <w:rsid w:val="003749D4"/>
    <w:rsid w:val="00377104"/>
    <w:rsid w:val="00377DA3"/>
    <w:rsid w:val="003F7A72"/>
    <w:rsid w:val="004132F1"/>
    <w:rsid w:val="00460CD7"/>
    <w:rsid w:val="004E6AF4"/>
    <w:rsid w:val="00551C3B"/>
    <w:rsid w:val="00582B1D"/>
    <w:rsid w:val="00594E4F"/>
    <w:rsid w:val="00646480"/>
    <w:rsid w:val="006B2A6F"/>
    <w:rsid w:val="007427DB"/>
    <w:rsid w:val="00810732"/>
    <w:rsid w:val="008E6545"/>
    <w:rsid w:val="008F06FC"/>
    <w:rsid w:val="00915F65"/>
    <w:rsid w:val="00916A1D"/>
    <w:rsid w:val="0092139B"/>
    <w:rsid w:val="0094051C"/>
    <w:rsid w:val="009617CF"/>
    <w:rsid w:val="0099497E"/>
    <w:rsid w:val="00997AF7"/>
    <w:rsid w:val="00A4692E"/>
    <w:rsid w:val="00A64A63"/>
    <w:rsid w:val="00AE7091"/>
    <w:rsid w:val="00B26D4D"/>
    <w:rsid w:val="00B54278"/>
    <w:rsid w:val="00B76278"/>
    <w:rsid w:val="00BA697E"/>
    <w:rsid w:val="00BD6AA0"/>
    <w:rsid w:val="00C24A5E"/>
    <w:rsid w:val="00C56722"/>
    <w:rsid w:val="00CB2E20"/>
    <w:rsid w:val="00D7659D"/>
    <w:rsid w:val="00D80A1F"/>
    <w:rsid w:val="00D965F4"/>
    <w:rsid w:val="00E860D0"/>
    <w:rsid w:val="00EE4549"/>
    <w:rsid w:val="00F35C59"/>
    <w:rsid w:val="00F94EEA"/>
    <w:rsid w:val="00FD7D37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E2FBA-61F4-481F-A642-2490F013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4549"/>
    <w:pPr>
      <w:autoSpaceDE w:val="0"/>
      <w:autoSpaceDN w:val="0"/>
      <w:adjustRightInd w:val="0"/>
      <w:spacing w:after="0" w:line="240" w:lineRule="auto"/>
    </w:pPr>
    <w:rPr>
      <w:rFonts w:ascii="IBODG C+ Times LT Std" w:hAnsi="IBODG C+ Times LT Std" w:cs="IBODG C+ Times LT St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732"/>
    <w:pPr>
      <w:ind w:left="720"/>
      <w:contextualSpacing/>
    </w:pPr>
  </w:style>
  <w:style w:type="table" w:styleId="TableGrid">
    <w:name w:val="Table Grid"/>
    <w:basedOn w:val="TableNormal"/>
    <w:uiPriority w:val="39"/>
    <w:rsid w:val="00F3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F0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lanismailgit/Factor-Analysis-MATLAB-GUI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www.kaggle.com/nitinsss/military-expenditure-of-countries-1960201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6028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blgsyr</dc:creator>
  <cp:keywords/>
  <dc:description/>
  <cp:lastModifiedBy>blgsyr</cp:lastModifiedBy>
  <cp:revision>36</cp:revision>
  <dcterms:created xsi:type="dcterms:W3CDTF">2019-11-04T12:17:00Z</dcterms:created>
  <dcterms:modified xsi:type="dcterms:W3CDTF">2019-11-27T08:55:00Z</dcterms:modified>
</cp:coreProperties>
</file>