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5"/>
      </w:tblGrid>
      <w:tr>
        <w:tc>
          <w:tcPr>
            <w:tcW w:type="dxa" w:w="10885"/>
            <w:shd w:val="clear" w:color="auto" w:fill="0B3D2E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nil" w:sz="0" w:color="auto"/>
              <w:left w:val="nil" w:sz="0" w:color="auto"/>
              <w:bottom w:val="single" w:sz="20" w:color="B8941F"/>
              <w:right w:val="nil" w:sz="0" w:color="auto"/>
            </w:tcBorders>
          </w:tcPr>
          <w:p>
            <w:pPr>
              <w:spacing w:before="0" w:after="0" w:line="240" w:lineRule="auto"/>
            </w:pPr>
            <w:r>
              <w:rPr>
                <w:rFonts w:ascii="Segoe UI" w:hAnsi="Segoe UI"/>
                <w:b/>
                <w:color w:val="D4AF37"/>
                <w:sz w:val="14"/>
                <w:spacing w:val="80"/>
              </w:rPr>
              <w:t>EXPRESS DEAL SNAPSHOT · CONFIDENTIAL</w:t>
            </w:r>
          </w:p>
          <w:p>
            <w:pPr>
              <w:spacing w:before="20" w:after="0" w:line="240" w:lineRule="auto"/>
            </w:pPr>
            <w:r>
              <w:rPr>
                <w:rFonts w:ascii="Georgia" w:hAnsi="Georgia"/>
                <w:b/>
                <w:color w:val="FFFFFF"/>
                <w:sz w:val="34"/>
              </w:rPr>
              <w:t>Карелия Золото · Леппясюрский</w:t>
            </w:r>
          </w:p>
          <w:p>
            <w:pPr>
              <w:spacing w:before="20" w:after="0" w:line="240" w:lineRule="auto"/>
            </w:pPr>
            <w:r>
              <w:rPr>
                <w:rFonts w:ascii="Segoe UI" w:hAnsi="Segoe UI"/>
                <w:color w:val="D4DAD6"/>
                <w:sz w:val="18"/>
              </w:rPr>
              <w:t>Лицензия ПТЗ 011986 БП · ООО «КАРЕЛДРАГМЕТ» · Суоярвский р-н, Республика Карелия</w:t>
            </w:r>
          </w:p>
          <w:p>
            <w:pPr>
              <w:spacing w:before="60" w:after="0" w:line="240" w:lineRule="auto"/>
            </w:pPr>
            <w:r>
              <w:rPr>
                <w:rFonts w:ascii="Segoe UI" w:hAnsi="Segoe UI"/>
                <w:b/>
                <w:color w:val="D4AF37"/>
                <w:sz w:val="15"/>
              </w:rPr>
              <w:t xml:space="preserve">Дата отсечки: </w:t>
            </w:r>
            <w:r>
              <w:rPr>
                <w:rFonts w:ascii="Segoe UI" w:hAnsi="Segoe UI"/>
                <w:color w:val="E8EFEA"/>
                <w:sz w:val="15"/>
              </w:rPr>
              <w:t>16.05.2026</w:t>
            </w:r>
            <w:r>
              <w:rPr>
                <w:rFonts w:ascii="Segoe UI" w:hAnsi="Segoe UI"/>
                <w:color w:val="889990"/>
                <w:sz w:val="15"/>
              </w:rPr>
              <w:t xml:space="preserve">   ·   </w:t>
            </w:r>
            <w:r>
              <w:rPr>
                <w:rFonts w:ascii="Segoe UI" w:hAnsi="Segoe UI"/>
                <w:b/>
                <w:color w:val="D4AF37"/>
                <w:sz w:val="15"/>
              </w:rPr>
              <w:t xml:space="preserve">Стадия: </w:t>
            </w:r>
            <w:r>
              <w:rPr>
                <w:rFonts w:ascii="Segoe UI" w:hAnsi="Segoe UI"/>
                <w:color w:val="E8EFEA"/>
                <w:sz w:val="15"/>
              </w:rPr>
              <w:t>Поиски и оценка (БП)</w:t>
            </w:r>
            <w:r>
              <w:rPr>
                <w:rFonts w:ascii="Segoe UI" w:hAnsi="Segoe UI"/>
                <w:color w:val="889990"/>
                <w:sz w:val="15"/>
              </w:rPr>
              <w:t xml:space="preserve">   ·   </w:t>
            </w:r>
            <w:r>
              <w:rPr>
                <w:rFonts w:ascii="Segoe UI" w:hAnsi="Segoe UI"/>
                <w:b/>
                <w:color w:val="D4AF37"/>
                <w:sz w:val="15"/>
              </w:rPr>
              <w:t xml:space="preserve">Срок: </w:t>
            </w:r>
            <w:r>
              <w:rPr>
                <w:rFonts w:ascii="Segoe UI" w:hAnsi="Segoe UI"/>
                <w:color w:val="E8EFEA"/>
                <w:sz w:val="15"/>
              </w:rPr>
              <w:t>до 01.02.2028</w:t>
            </w:r>
            <w:r>
              <w:rPr>
                <w:rFonts w:ascii="Segoe UI" w:hAnsi="Segoe UI"/>
                <w:color w:val="889990"/>
                <w:sz w:val="15"/>
              </w:rPr>
              <w:t xml:space="preserve">   ·   </w:t>
            </w:r>
            <w:r>
              <w:rPr>
                <w:rFonts w:ascii="Segoe UI" w:hAnsi="Segoe UI"/>
                <w:b/>
                <w:color w:val="D4AF37"/>
                <w:sz w:val="15"/>
              </w:rPr>
              <w:t xml:space="preserve">Площадь: </w:t>
            </w:r>
            <w:r>
              <w:rPr>
                <w:rFonts w:ascii="Segoe UI" w:hAnsi="Segoe UI"/>
                <w:color w:val="E8EFEA"/>
                <w:sz w:val="15"/>
              </w:rPr>
              <w:t>68,35 км²</w:t>
            </w:r>
            <w:r>
              <w:rPr>
                <w:rFonts w:ascii="Segoe UI" w:hAnsi="Segoe UI"/>
                <w:color w:val="889990"/>
                <w:sz w:val="15"/>
              </w:rPr>
              <w:t xml:space="preserve">   ·   </w:t>
            </w:r>
            <w:r>
              <w:rPr>
                <w:rFonts w:ascii="Segoe UI" w:hAnsi="Segoe UI"/>
                <w:b/>
                <w:color w:val="D4AF37"/>
                <w:sz w:val="15"/>
              </w:rPr>
              <w:t xml:space="preserve">Стандарт: </w:t>
            </w:r>
            <w:r>
              <w:rPr>
                <w:rFonts w:ascii="Segoe UI" w:hAnsi="Segoe UI"/>
                <w:color w:val="E8EFEA"/>
                <w:sz w:val="15"/>
              </w:rPr>
              <w:t>JORC / NAEN / ГКЗ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721"/>
      </w:tblGrid>
      <w:tr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  <w:tcBorders>
              <w:top w:val="single" w:sz="18" w:color="0B3D2E"/>
              <w:left w:val="single" w:sz="4" w:color="D8D2BF"/>
              <w:bottom w:val="single" w:sz="4" w:color="D8D2BF"/>
              <w:right w:val="single" w:sz="4" w:color="D8D2B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FAIR VALUE RANGE</w:t>
            </w:r>
            <w:r>
              <w:br/>
            </w: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(NPV сегодня)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Georgia" w:hAnsi="Georgia"/>
                <w:b/>
                <w:color w:val="0B3D2E"/>
                <w:sz w:val="26"/>
              </w:rPr>
              <w:t>₽50 – 400 М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Segoe UI" w:hAnsi="Segoe UI"/>
                <w:color w:val="4A5450"/>
                <w:sz w:val="13"/>
              </w:rPr>
              <w:t>$0,55 – 4,5 М</w:t>
            </w:r>
          </w:p>
        </w:tc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  <w:tcBorders>
              <w:top w:val="single" w:sz="18" w:color="0B3D2E"/>
              <w:left w:val="single" w:sz="4" w:color="D8D2BF"/>
              <w:bottom w:val="single" w:sz="4" w:color="D8D2BF"/>
              <w:right w:val="single" w:sz="4" w:color="D8D2B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ЗЕЛЁНАЯ ЗОНА</w:t>
            </w:r>
            <w:r>
              <w:br/>
            </w: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ВХОДА В СДЕЛКУ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Georgia" w:hAnsi="Georgia"/>
                <w:b/>
                <w:color w:val="0B3D2E"/>
                <w:sz w:val="26"/>
              </w:rPr>
              <w:t>≤ ₽180–220 М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Segoe UI" w:hAnsi="Segoe UI"/>
                <w:color w:val="4A5450"/>
                <w:sz w:val="13"/>
              </w:rPr>
              <w:t>с earnout</w:t>
            </w:r>
          </w:p>
        </w:tc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  <w:tcBorders>
              <w:top w:val="single" w:sz="18" w:color="0B3D2E"/>
              <w:left w:val="single" w:sz="4" w:color="D8D2BF"/>
              <w:bottom w:val="single" w:sz="4" w:color="D8D2BF"/>
              <w:right w:val="single" w:sz="4" w:color="D8D2B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Р3 В ГРАНИЦАХ</w:t>
            </w:r>
            <w:r>
              <w:br/>
            </w: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ЛИЦЕНЗИИ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Georgia" w:hAnsi="Georgia"/>
                <w:b/>
                <w:color w:val="0B3D2E"/>
                <w:sz w:val="26"/>
              </w:rPr>
              <w:t>22,28 т Au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Segoe UI" w:hAnsi="Segoe UI"/>
                <w:color w:val="4A5450"/>
                <w:sz w:val="13"/>
              </w:rPr>
              <w:t>ЦНИГРИ 15/1129</w:t>
            </w:r>
          </w:p>
        </w:tc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BEEE5"/>
            <w:tcBorders>
              <w:top w:val="single" w:sz="18" w:color="B8410F"/>
              <w:left w:val="single" w:sz="4" w:color="D8D2BF"/>
              <w:bottom w:val="single" w:sz="4" w:color="D8D2BF"/>
              <w:right w:val="single" w:sz="4" w:color="D8D2B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РАСХОЖДЕНИЕ</w:t>
            </w:r>
            <w:r>
              <w:br/>
            </w:r>
            <w:r>
              <w:rPr>
                <w:rFonts w:ascii="Segoe UI" w:hAnsi="Segoe UI"/>
                <w:b/>
                <w:color w:val="7A857F"/>
                <w:sz w:val="13"/>
                <w:spacing w:val="20"/>
              </w:rPr>
              <w:t>ПРОДАВЕЦ vs ГРР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Georgia" w:hAnsi="Georgia"/>
                <w:b/>
                <w:color w:val="B8410F"/>
                <w:sz w:val="26"/>
              </w:rPr>
              <w:t>12,5 ×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Segoe UI" w:hAnsi="Segoe UI"/>
                <w:color w:val="4A5450"/>
                <w:sz w:val="13"/>
              </w:rPr>
              <w:t>25 т vs 2 т С1+С2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c>
          <w:tcPr>
            <w:tcW w:type="dxa" w:w="544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c>
                <w:tcPr>
                  <w:tcW w:type="dxa" w:w="5102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shd w:val="clear" w:color="auto" w:fill="FFFFFF"/>
                  <w:tcBorders>
                    <w:top w:val="single" w:sz="4" w:color="D8D2BF"/>
                    <w:left w:val="single" w:sz="16" w:color="0B3D2E"/>
                    <w:bottom w:val="single" w:sz="4" w:color="D8D2BF"/>
                    <w:right w:val="single" w:sz="4" w:color="D8D2BF"/>
                  </w:tcBorders>
                </w:tcPr>
                <w:p>
                  <w:pPr>
                    <w:spacing w:before="0" w:after="40" w:line="240" w:lineRule="auto"/>
                    <w:pBdr>
                      <w:bottom w:val="single" w:sz="4" w:color="E3DECF"/>
                    </w:pBdr>
                  </w:pPr>
                  <w:r>
                    <w:rPr>
                      <w:rFonts w:ascii="Segoe UI" w:hAnsi="Segoe UI"/>
                      <w:b/>
                      <w:color w:val="0B3D2E"/>
                      <w:sz w:val="15"/>
                      <w:spacing w:val="40"/>
                    </w:rPr>
                    <w:t>СТРУКТУРА СДЕЛКИ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Предмет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100% долей ООО «КАРЕЛДРАГМЕТ»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Юр. конструкция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Share deal (asset через переоформление)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Лицензия (вид)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БП · поиски и оценка · 02.02.2023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Срок действия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до 01.02.2028 (~21 мес от 16.05.2026)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Лицензиат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ООО «КАРЕЛДРАГМЕТ» · ИНН 1001357037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Орган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Севзапнедра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Бюджет ГРР утв.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₽98 М (Росгеолэкспертиза 15.03.2024)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Объём работ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12 100 м колонкового бурения, 81 скв.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Проектировщик / Исполнитель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ОГЕО-ПРОЕКТ / Открытая Геология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Категория федерального значения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НЕТ (площадь 68,35 км²)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Структура платежа (реком.)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0B3D2E"/>
                      <w:sz w:val="16"/>
                    </w:rPr>
                    <w:t>50% upfront + 25% за С2≥5т + 25% за С2≥10т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c>
                <w:tcPr>
                  <w:tcW w:type="dxa" w:w="5102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shd w:val="clear" w:color="auto" w:fill="FFFDF4"/>
                  <w:tcBorders>
                    <w:top w:val="single" w:sz="4" w:color="D8D2BF"/>
                    <w:left w:val="single" w:sz="16" w:color="B8941F"/>
                    <w:bottom w:val="single" w:sz="4" w:color="D8D2BF"/>
                    <w:right w:val="single" w:sz="4" w:color="D8D2BF"/>
                  </w:tcBorders>
                </w:tcPr>
                <w:p>
                  <w:pPr>
                    <w:spacing w:before="0" w:after="40" w:line="240" w:lineRule="auto"/>
                    <w:pBdr>
                      <w:bottom w:val="single" w:sz="4" w:color="E3DECF"/>
                    </w:pBdr>
                  </w:pPr>
                  <w:r>
                    <w:rPr>
                      <w:rFonts w:ascii="Segoe UI" w:hAnsi="Segoe UI"/>
                      <w:b/>
                      <w:color w:val="7A5A0F"/>
                      <w:sz w:val="15"/>
                      <w:spacing w:val="40"/>
                    </w:rPr>
                    <w:t>РЕСУРСЫ — ТРИ ПРОЕКЦИИ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Р3 апробир. (ЦНИГРИ 15/1129, 2023)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22,28 т Au @ 5,7 г/т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С1+С2 ожид. (госэкспертиза)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2,0 т @ 2,0 г/т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Р1 ожид. (госэкспертиза)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26,25 т @ 2,0 г/т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С1+С2 заявл. продавцом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B8410F"/>
                      <w:sz w:val="16"/>
                    </w:rPr>
                    <w:t>🚩 25 т @ 5,7 г/т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Aslan Kaa midpoint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5 т С1+С2 / 25 т Р1+Р2 @ 3,0 г/т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Тип месторождения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Orogenic Au · аналог Suurikuusikko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Коэф. подобия (ЦНИГРИ 2008)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0,65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Группа сложности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3-я (Приказ МПР № 278)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c>
                <w:tcPr>
                  <w:tcW w:type="dxa" w:w="5102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shd w:val="clear" w:color="auto" w:fill="ECF2EE"/>
                  <w:tcBorders>
                    <w:top w:val="single" w:sz="4" w:color="D8D2BF"/>
                    <w:left w:val="single" w:sz="16" w:color="0B3D2E"/>
                    <w:bottom w:val="single" w:sz="4" w:color="D8D2BF"/>
                    <w:right w:val="single" w:sz="4" w:color="D8D2BF"/>
                  </w:tcBorders>
                </w:tcPr>
                <w:p>
                  <w:pPr>
                    <w:spacing w:before="0" w:after="40" w:line="240" w:lineRule="auto"/>
                    <w:pBdr>
                      <w:bottom w:val="single" w:sz="4" w:color="E3DECF"/>
                    </w:pBdr>
                  </w:pPr>
                  <w:r>
                    <w:rPr>
                      <w:rFonts w:ascii="Segoe UI" w:hAnsi="Segoe UI"/>
                      <w:b/>
                      <w:color w:val="0B3D2E"/>
                      <w:sz w:val="15"/>
                      <w:spacing w:val="40"/>
                    </w:rPr>
                    <w:t>ИНФРАСТРУКТУРА (ПЛЮС)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ЖД: Октябрьская, ветки Леппясюрья / Райконкоски / Лоймола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Авто: А-131 + лесовозная сеть, выход к фин. границе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ЛЭП: 10/40 кВ (нужно 110 кВ для ЗИФ, +₽0,8–2,5 млрд)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Вода: р. Уксунйоки · бассейн Балтики через Ладогу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Кадры: Суоярви 14 834 чел., ~35% работоспособных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</w:p>
        </w:tc>
        <w:tc>
          <w:tcPr>
            <w:tcW w:type="dxa" w:w="5443"/>
            <w:tcMar>
              <w:top w:w="0" w:type="dxa"/>
              <w:left w:w="80" w:type="dxa"/>
              <w:bottom w:w="0" w:type="dxa"/>
              <w:right w:w="80" w:type="dxa"/>
            </w:tcMar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c>
                <w:tcPr>
                  <w:tcW w:type="dxa" w:w="5102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shd w:val="clear" w:color="auto" w:fill="FFFFFF"/>
                  <w:tcBorders>
                    <w:top w:val="single" w:sz="4" w:color="D8D2BF"/>
                    <w:left w:val="single" w:sz="16" w:color="0B3D2E"/>
                    <w:bottom w:val="single" w:sz="4" w:color="D8D2BF"/>
                    <w:right w:val="single" w:sz="4" w:color="D8D2BF"/>
                  </w:tcBorders>
                </w:tcPr>
                <w:p>
                  <w:pPr>
                    <w:spacing w:before="0" w:after="40" w:line="240" w:lineRule="auto"/>
                    <w:pBdr>
                      <w:bottom w:val="single" w:sz="4" w:color="E3DECF"/>
                    </w:pBdr>
                  </w:pPr>
                  <w:r>
                    <w:rPr>
                      <w:rFonts w:ascii="Segoe UI" w:hAnsi="Segoe UI"/>
                      <w:b/>
                      <w:color w:val="0B3D2E"/>
                      <w:sz w:val="15"/>
                      <w:spacing w:val="40"/>
                    </w:rPr>
                    <w:t>ФИНАНСОВЫЕ ПАРАМЕТРЫ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Fair Value базовый (midpoint)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$3,14 М (≈ ₽282 М post-ГРР)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NPV сегодня (до бурения)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₽50 – 400 М · $0,55 – 4,5 М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Зелёная зона входа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0B3D2E"/>
                      <w:sz w:val="16"/>
                    </w:rPr>
                    <w:t>≤ ₽180 – 220 М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Красная зона (отказ)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B8410F"/>
                      <w:sz w:val="16"/>
                    </w:rPr>
                    <w:t>ask &gt; ₽500 М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CapEx до first gold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$100 – 220 М (₽9 – 20 млрд)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Timeline до first gold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7 – 9 лет (2033 – 2035)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Project IRR (базовый)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8 – 18 %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AISC (WGC) индикатив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$1 400 – 2 100 / oz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OpEx ЗИФ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$1 200 – 1 800 / oz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Steady-state EBITDA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₽1,6 – 3,2 млрд / год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Payback от старта добычи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4 – 7 лет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Sensitivity Au ±$220/oz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NPV ±25 – 35 %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Sensitivity содержание ±0,2 г/т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NPV ±30 – 40 %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c>
                <w:tcPr>
                  <w:tcW w:type="dxa" w:w="5102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shd w:val="clear" w:color="auto" w:fill="FBEEE5"/>
                  <w:tcBorders>
                    <w:top w:val="single" w:sz="4" w:color="D8D2BF"/>
                    <w:left w:val="single" w:sz="16" w:color="B8410F"/>
                    <w:bottom w:val="single" w:sz="4" w:color="D8D2BF"/>
                    <w:right w:val="single" w:sz="4" w:color="D8D2BF"/>
                  </w:tcBorders>
                </w:tcPr>
                <w:p>
                  <w:pPr>
                    <w:spacing w:before="0" w:after="40" w:line="240" w:lineRule="auto"/>
                    <w:pBdr>
                      <w:bottom w:val="single" w:sz="4" w:color="E3DECF"/>
                    </w:pBdr>
                  </w:pPr>
                  <w:r>
                    <w:rPr>
                      <w:rFonts w:ascii="Segoe UI" w:hAnsi="Segoe UI"/>
                      <w:b/>
                      <w:color w:val="B8410F"/>
                      <w:sz w:val="15"/>
                      <w:spacing w:val="40"/>
                    </w:rPr>
                    <w:t>TOP-5 RED FLAGS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🚩 Разрыв 12,5×: продавец 25 т vs госэкспертиза 2 т С1+С2 (5,7 vs 2,0 г/т)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🚩 Refractory-риск: Au в As-py 93% (аналог Suurikuusikko) → POX +$80–150 М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🚩 Р3 = 85 т некорректно для лицензии — реально 22,28 т (письмо ЦНИГРИ)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🚩 Лицензионный график жёсткий: защита в ГКЗ до 01.02.2028, ~21 мес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🚩 Сбыт: LBMA suspend РФ refineries → CGSE / Шанхай / Дубай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02"/>
            </w:tblGrid>
            <w:tr>
              <w:tc>
                <w:tcPr>
                  <w:tcW w:type="dxa" w:w="5102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shd w:val="clear" w:color="auto" w:fill="FFFFFF"/>
                  <w:tcBorders>
                    <w:top w:val="single" w:sz="4" w:color="D8D2BF"/>
                    <w:left w:val="single" w:sz="16" w:color="0B3D2E"/>
                    <w:bottom w:val="single" w:sz="4" w:color="D8D2BF"/>
                    <w:right w:val="single" w:sz="4" w:color="D8D2BF"/>
                  </w:tcBorders>
                </w:tcPr>
                <w:p>
                  <w:pPr>
                    <w:spacing w:before="0" w:after="40" w:line="240" w:lineRule="auto"/>
                    <w:pBdr>
                      <w:bottom w:val="single" w:sz="4" w:color="E3DECF"/>
                    </w:pBdr>
                  </w:pPr>
                  <w:r>
                    <w:rPr>
                      <w:rFonts w:ascii="Segoe UI" w:hAnsi="Segoe UI"/>
                      <w:b/>
                      <w:color w:val="0B3D2E"/>
                      <w:sz w:val="15"/>
                      <w:spacing w:val="40"/>
                    </w:rPr>
                    <w:t>СЦЕНАРИИ ОЦЕНКИ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1. По госэкспертизе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$1,91 М · ₽170 М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2. По продавцу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B8410F"/>
                      <w:sz w:val="16"/>
                    </w:rPr>
                    <w:t>$15,92 М · ₽1,43 млрд</w:t>
                  </w:r>
                </w:p>
                <w:p>
                  <w:pPr>
                    <w:tabs>
                      <w:tab w:pos="4819" w:val="right"/>
                    </w:tabs>
                    <w:spacing w:before="0" w:after="20" w:line="276" w:lineRule="auto"/>
                  </w:pPr>
                  <w:r>
                    <w:rPr>
                      <w:rFonts w:ascii="Segoe UI" w:hAnsi="Segoe UI"/>
                      <w:b w:val="0"/>
                      <w:i w:val="0"/>
                      <w:color w:val="4A5450"/>
                      <w:sz w:val="16"/>
                    </w:rPr>
                    <w:t>3. Aslan Kaa midpoint</w:t>
                  </w:r>
                  <w:r>
                    <w:tab/>
                  </w:r>
                  <w:r>
                    <w:rPr>
                      <w:rFonts w:ascii="Segoe UI" w:hAnsi="Segoe UI"/>
                      <w:b/>
                      <w:color w:val="0B3D2E"/>
                      <w:sz w:val="16"/>
                    </w:rPr>
                    <w:t>$3,14 М · ₽282 М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Discount NPV: 50% geo-risk + 57% time (4 г · 15% WACC)</w:t>
                  </w:r>
                </w:p>
                <w:p>
                  <w:pPr>
                    <w:spacing w:before="20" w:after="0" w:line="300" w:lineRule="auto"/>
                  </w:pPr>
                  <w:r>
                    <w:rPr>
                      <w:rFonts w:ascii="Segoe UI" w:hAnsi="Segoe UI"/>
                      <w:b/>
                      <w:i w:val="0"/>
                      <w:color w:val="0B3D2E"/>
                      <w:sz w:val="16"/>
                    </w:rPr>
                    <w:t xml:space="preserve">•  </w:t>
                  </w:r>
                  <w:r>
                    <w:rPr>
                      <w:rFonts w:ascii="Segoe UI" w:hAnsi="Segoe UI"/>
                      <w:b w:val="0"/>
                      <w:i w:val="0"/>
                      <w:color w:val="1A1F1C"/>
                      <w:sz w:val="16"/>
                    </w:rPr>
                    <w:t>Au-spot: $2 000 – 2 500 / oz · курс 90 ₽/$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</w:p>
        </w:tc>
      </w:tr>
    </w:tbl>
    <w:p>
      <w:pPr>
        <w:spacing w:before="0" w:after="6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5"/>
      </w:tblGrid>
      <w:tr>
        <w:tc>
          <w:tcPr>
            <w:tcW w:type="dxa" w:w="10885"/>
            <w:shd w:val="clear" w:color="auto" w:fill="ECF2EE"/>
            <w:tcMar>
              <w:top w:w="100" w:type="dxa"/>
              <w:left w:w="180" w:type="dxa"/>
              <w:bottom w:w="100" w:type="dxa"/>
              <w:right w:w="180" w:type="dxa"/>
            </w:tcMar>
            <w:tcBorders>
              <w:top w:val="single" w:sz="8" w:color="B8941F"/>
              <w:left w:val="single" w:sz="8" w:color="B8941F"/>
              <w:bottom w:val="single" w:sz="8" w:color="B8941F"/>
              <w:right w:val="single" w:sz="8" w:color="B8941F"/>
            </w:tcBorders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0B3D2E"/>
                <w:sz w:val="17"/>
                <w:spacing w:val="80"/>
              </w:rPr>
              <w:t>РЕКОМЕНДАЦИЯ  /  DECISION  GATE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02"/>
              <w:gridCol w:w="3402"/>
              <w:gridCol w:w="3402"/>
            </w:tblGrid>
            <w:tr>
              <w:tc>
                <w:tcPr>
                  <w:tcW w:type="dxa" w:w="3402"/>
                  <w:tcMar>
                    <w:top w:w="20" w:type="dxa"/>
                    <w:left w:w="0" w:type="dxa"/>
                    <w:bottom w:w="20" w:type="dxa"/>
                    <w:right w:w="80" w:type="dxa"/>
                  </w:tcMar>
                  <w:tcBorders>
                    <w:top w:val="nil" w:sz="0" w:color="auto"/>
                    <w:left w:val="nil" w:sz="0" w:color="auto"/>
                    <w:bottom w:val="nil" w:sz="0" w:color="auto"/>
                    <w:right w:val="nil" w:sz="0" w:color="auto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Segoe UI" w:hAnsi="Segoe UI"/>
                      <w:b/>
                      <w:color w:val="0B3D2E"/>
                      <w:sz w:val="14"/>
                      <w:spacing w:val="50"/>
                    </w:rPr>
                    <w:t>✓ ВХОДИТЬ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Цена ≤ ₽220 М + earnout (50/25/25) + независимая верификация ₽1,5–3 М</w:t>
                  </w:r>
                </w:p>
              </w:tc>
              <w:tc>
                <w:tcPr>
                  <w:tcW w:type="dxa" w:w="3402"/>
                  <w:tcMar>
                    <w:top w:w="20" w:type="dxa"/>
                    <w:left w:w="0" w:type="dxa"/>
                    <w:bottom w:w="20" w:type="dxa"/>
                    <w:right w:w="80" w:type="dxa"/>
                  </w:tcMar>
                  <w:tcBorders>
                    <w:top w:val="nil" w:sz="0" w:color="auto"/>
                    <w:left w:val="nil" w:sz="0" w:color="auto"/>
                    <w:bottom w:val="nil" w:sz="0" w:color="auto"/>
                    <w:right w:val="nil" w:sz="0" w:color="auto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Segoe UI" w:hAnsi="Segoe UI"/>
                      <w:b/>
                      <w:color w:val="B8410F"/>
                      <w:sz w:val="14"/>
                      <w:spacing w:val="50"/>
                    </w:rPr>
                    <w:t>✕ ОТКАЗАТЬСЯ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Если ask &gt; ₽500 М или продавец отказывается от earnout-привязки к ГКЗ</w:t>
                  </w:r>
                </w:p>
              </w:tc>
              <w:tc>
                <w:tcPr>
                  <w:tcW w:type="dxa" w:w="3402"/>
                  <w:tcMar>
                    <w:top w:w="20" w:type="dxa"/>
                    <w:left w:w="0" w:type="dxa"/>
                    <w:bottom w:w="20" w:type="dxa"/>
                    <w:right w:w="80" w:type="dxa"/>
                  </w:tcMar>
                  <w:tcBorders>
                    <w:top w:val="nil" w:sz="0" w:color="auto"/>
                    <w:left w:val="nil" w:sz="0" w:color="auto"/>
                    <w:bottom w:val="nil" w:sz="0" w:color="auto"/>
                    <w:right w:val="nil" w:sz="0" w:color="auto"/>
                  </w:tcBorders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Segoe UI" w:hAnsi="Segoe UI"/>
                      <w:b/>
                      <w:color w:val="7A5A0F"/>
                      <w:sz w:val="14"/>
                      <w:spacing w:val="50"/>
                    </w:rPr>
                    <w:t>↻ АЛЬТЕРНАТИВА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Segoe UI" w:hAnsi="Segoe UI"/>
                      <w:b/>
                      <w:color w:val="1A1F1C"/>
                      <w:sz w:val="16"/>
                    </w:rPr>
                    <w:t>Готовый карельский проект с С1+С2 ≥ 5 т: ₽800–2000 М, 3–5 лет до first gold</w:t>
                  </w:r>
                </w:p>
              </w:tc>
            </w:tr>
          </w:tbl>
          <w:p/>
        </w:tc>
      </w:tr>
    </w:tbl>
    <w:p>
      <w:pPr>
        <w:spacing w:before="0" w:after="40" w:line="240" w:lineRule="auto"/>
      </w:pPr>
    </w:p>
    <w:p>
      <w:pPr>
        <w:spacing w:before="0" w:after="0" w:line="312" w:lineRule="auto"/>
        <w:jc w:val="center"/>
        <w:pBdr>
          <w:top w:val="single" w:sz="4" w:color="D8D2BF"/>
        </w:pBdr>
      </w:pPr>
      <w:r>
        <w:rPr>
          <w:rFonts w:ascii="Segoe UI" w:hAnsi="Segoe UI"/>
          <w:b w:val="0"/>
          <w:i w:val="0"/>
          <w:color w:val="7A857F"/>
          <w:sz w:val="14"/>
        </w:rPr>
        <w:t xml:space="preserve">Подготовлено: </w:t>
      </w:r>
      <w:r>
        <w:rPr>
          <w:rFonts w:ascii="Segoe UI" w:hAnsi="Segoe UI"/>
          <w:b/>
          <w:i w:val="0"/>
          <w:color w:val="0B3D2E"/>
          <w:sz w:val="14"/>
        </w:rPr>
        <w:t>Кагиров Абдул-Хаким Ахмадович (Аслан Каа)</w:t>
      </w:r>
      <w:r>
        <w:rPr>
          <w:rFonts w:ascii="Segoe UI" w:hAnsi="Segoe UI"/>
          <w:b w:val="0"/>
          <w:i w:val="0"/>
          <w:color w:val="7A857F"/>
          <w:sz w:val="14"/>
        </w:rPr>
        <w:t xml:space="preserve"> · Aslan Kaa AU · Center Group Company / ГК «Центр»</w:t>
      </w:r>
    </w:p>
    <w:p>
      <w:pPr>
        <w:spacing w:before="0" w:after="0" w:line="312" w:lineRule="auto"/>
        <w:jc w:val="center"/>
      </w:pPr>
      <w:r>
        <w:rPr>
          <w:rFonts w:ascii="Segoe UI" w:hAnsi="Segoe UI"/>
          <w:b w:val="0"/>
          <w:i w:val="0"/>
          <w:color w:val="4A5450"/>
          <w:sz w:val="14"/>
        </w:rPr>
        <w:t>+7 (969) 795-55-55 · +7 (925) 203-77-77 · www.aslankaa.com · aslankaa@yandex.ru</w:t>
      </w:r>
    </w:p>
    <w:p>
      <w:pPr>
        <w:spacing w:before="0" w:after="0" w:line="312" w:lineRule="auto"/>
        <w:jc w:val="center"/>
      </w:pPr>
      <w:r>
        <w:rPr>
          <w:rFonts w:ascii="Segoe UI" w:hAnsi="Segoe UI"/>
          <w:b w:val="0"/>
          <w:i/>
          <w:color w:val="7A857F"/>
          <w:sz w:val="13"/>
        </w:rPr>
        <w:t>© 2026. Internal Express Snapshot — не предназначен для публичного раскрытия (не ITR в смысле JORC 2012 / NI 43-101).</w:t>
      </w:r>
    </w:p>
    <w:sectPr w:rsidR="00FC693F" w:rsidRPr="0006063C" w:rsidSect="00034616">
      <w:pgSz w:w="11906" w:h="16838"/>
      <w:pgMar w:top="454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