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Международная оценка проекта ЦП РСФСР</w:t>
      </w:r>
    </w:p>
    <w:p>
      <w:r>
        <w:rPr>
          <w:b/>
        </w:rPr>
        <w:t>Оцениваемый объект:</w:t>
      </w:r>
      <w:r>
        <w:t xml:space="preserve"> Цифровая Платформа «Российский Сервис Финансирования Социального Развития» — информационная система выпуска целевых ЦФА (оператор по 779-П) с горизонтным контуром целевого фондирования через инфраструктурный канал ВЭБ.РФ / Казначейства с участием ЦБ как надзорного регулятора. Включает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</w:t>
      </w:r>
    </w:p>
    <w:p>
      <w:r>
        <w:rPr>
          <w:b/>
        </w:rPr>
        <w:t>Правообладатель ноу-хау:</w:t>
      </w:r>
      <w:r>
        <w:t xml:space="preserve"> Кагиров Абдул-Хаким Ахмадович. Свидетельство о депонировании №4011265 от 19.12.2024 — фиксация даты приоритета и хеша произведения; режим охраны — ноу-хау (ст. 1465 ГК) + программа для ЭВМ (ст. 1262 ГК, регистрация в Роспатенте — в работе).</w:t>
      </w:r>
    </w:p>
    <w:p>
      <w:r>
        <w:rPr>
          <w:b/>
        </w:rPr>
        <w:t>Дата оценки:</w:t>
      </w:r>
      <w:r>
        <w:t xml:space="preserve"> конец мая 2026 (для целей переговоров — pre-money, на стадии «MVP + готовая клиентская часть»).</w:t>
      </w:r>
    </w:p>
    <w:p>
      <w:r>
        <w:rPr>
          <w:b/>
        </w:rPr>
        <w:t>Стандарты оценки:</w:t>
      </w:r>
      <w:r>
        <w:t xml:space="preserve"> IVS 2025 (International Valuation Standards), ASA Business Valuation Standards, IFRS 13 (Fair Value Measurement), 135-ФЗ (для целей применения в РФ).</w:t>
      </w:r>
    </w:p>
    <w:p>
      <w:r>
        <w:rPr>
          <w:b/>
        </w:rPr>
        <w:t>Подход:</w:t>
      </w:r>
      <w:r>
        <w:t xml:space="preserve"> триангуляция четырёх независимых методов с весовой свёрткой и единым (одностадийным) дисконтом.</w:t>
      </w:r>
    </w:p>
    <w:p>
      <w:r>
        <w:rPr>
          <w:b/>
        </w:rPr>
        <w:t>Источник параметров рынка:</w:t>
      </w:r>
      <w:r>
        <w:t xml:space="preserve">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v4: КС ЦБ 14,5%, FX 71,55 ₽/$, ERP РФ 8,13%) — единый источник истины для всех документов проекта. Синхронизировано с формальным отчётом об оценке </w:t>
      </w:r>
      <w:r>
        <w:rPr>
          <w:rFonts w:ascii="Consolas" w:hAnsi="Consolas"/>
          <w:sz w:val="18"/>
        </w:rPr>
        <w:t>DPFSR.RU_PRICE/Отчёт_об_оценке_ЦПФСР_2026-05-26</w:t>
      </w:r>
      <w:r>
        <w:t>.</w:t>
      </w:r>
    </w:p>
    <w:p>
      <w:pPr>
        <w:pStyle w:val="Heading2"/>
      </w:pPr>
      <w:r/>
      <w:r>
        <w:t>1. Резюме оценки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USD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RUB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DCF (доходный, multi-stage TV)</w:t>
            </w:r>
          </w:p>
        </w:tc>
        <w:tc>
          <w:tcPr>
            <w:tcW w:type="dxa" w:w="2160"/>
          </w:tcPr>
          <w:p>
            <w:r/>
            <w:r>
              <w:t>$ 355 млн</w:t>
            </w:r>
          </w:p>
        </w:tc>
        <w:tc>
          <w:tcPr>
            <w:tcW w:type="dxa" w:w="2160"/>
          </w:tcPr>
          <w:p>
            <w:r/>
            <w:r>
              <w:t>₽ 25,4 млрд</w:t>
            </w:r>
          </w:p>
        </w:tc>
        <w:tc>
          <w:tcPr>
            <w:tcW w:type="dxa" w:w="2160"/>
          </w:tcPr>
          <w:p>
            <w:r/>
            <w:r>
              <w:t>35%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Comparable Multiples</w:t>
            </w:r>
          </w:p>
        </w:tc>
        <w:tc>
          <w:tcPr>
            <w:tcW w:type="dxa" w:w="2160"/>
          </w:tcPr>
          <w:p>
            <w:r/>
            <w:r>
              <w:t>$ 380 млн</w:t>
            </w:r>
          </w:p>
        </w:tc>
        <w:tc>
          <w:tcPr>
            <w:tcW w:type="dxa" w:w="2160"/>
          </w:tcPr>
          <w:p>
            <w:r/>
            <w:r>
              <w:t>₽ 27,2 млрд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Berkus / Risk-Adjusted</w:t>
            </w:r>
          </w:p>
        </w:tc>
        <w:tc>
          <w:tcPr>
            <w:tcW w:type="dxa" w:w="2160"/>
          </w:tcPr>
          <w:p>
            <w:r/>
            <w:r>
              <w:t>$ 35 млн</w:t>
            </w:r>
          </w:p>
        </w:tc>
        <w:tc>
          <w:tcPr>
            <w:tcW w:type="dxa" w:w="2160"/>
          </w:tcPr>
          <w:p>
            <w:r/>
            <w:r>
              <w:t>₽ 2,5 млрд</w:t>
            </w:r>
          </w:p>
        </w:tc>
        <w:tc>
          <w:tcPr>
            <w:tcW w:type="dxa" w:w="2160"/>
          </w:tcPr>
          <w:p>
            <w:r/>
            <w: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Asset / Replacement-Cost</w:t>
            </w:r>
          </w:p>
        </w:tc>
        <w:tc>
          <w:tcPr>
            <w:tcW w:type="dxa" w:w="2160"/>
          </w:tcPr>
          <w:p>
            <w:r/>
            <w:r>
              <w:t>$ 20 млн</w:t>
            </w:r>
          </w:p>
        </w:tc>
        <w:tc>
          <w:tcPr>
            <w:tcW w:type="dxa" w:w="2160"/>
          </w:tcPr>
          <w:p>
            <w:r/>
            <w:r>
              <w:t>₽ 1,43 млрд</w:t>
            </w:r>
          </w:p>
        </w:tc>
        <w:tc>
          <w:tcPr>
            <w:tcW w:type="dxa" w:w="2160"/>
          </w:tcPr>
          <w:p>
            <w:r/>
            <w:r>
              <w:t>10%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Reasoned Value (single-stage discount)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$ 70–140 млн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₽ 5,01–10,02 млрд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>
      <w:r>
        <w:t xml:space="preserve">&gt; </w:t>
      </w:r>
      <w:r>
        <w:rPr>
          <w:b/>
        </w:rPr>
        <w:t>Изменения относительно прошлой редакции (реконсиляция под реальную макру, SoT v4):</w:t>
      </w:r>
    </w:p>
    <w:p>
      <w:r>
        <w:t>&gt; - Макропараметры приведены к фактическим данным ЦБ РФ на конец мая 2026: КС 14,5% (решение 24.04.2026), курс 71,55 ₽/$.</w:t>
      </w:r>
    </w:p>
    <w:p>
      <w:r>
        <w:t>&gt; - Все USD-величины пересчитаны через фактический курс 71,55 (укрепление рубля с 89 до 71,55 поднимает долларовый эквивалент при сохранении рублёвой стоимости).</w:t>
      </w:r>
    </w:p>
    <w:p>
      <w:r>
        <w:t>&gt; - DCF составляет $355 млн (EV 63,45 млрд ₽ × 0,40 stage discount, при FX 71,55).</w:t>
      </w:r>
    </w:p>
    <w:p>
      <w:r>
        <w:t>&gt; - Единый stage discount 60% поверх взвешенной EV (без double-counting).</w:t>
      </w:r>
    </w:p>
    <w:p>
      <w:r>
        <w:t>&gt; - Reasoned Value диапазон $ 70–140 млн (₽ 5,01–10,02 млрд при FX 71,55).</w:t>
      </w:r>
    </w:p>
    <w:p>
      <w:r>
        <w:rPr>
          <w:b/>
        </w:rPr>
        <w:t>Целевая переговорная позиция (Base сценарий):</w:t>
      </w:r>
    </w:p>
    <w:p>
      <w:pPr>
        <w:pStyle w:val="ListBullet"/>
      </w:pPr>
      <w:r>
        <w:t xml:space="preserve">Pre-money — </w:t>
      </w:r>
      <w:r>
        <w:rPr>
          <w:b/>
        </w:rPr>
        <w:t>$ 100 млн (₽ 7,15 млрд)</w:t>
      </w:r>
      <w:r>
        <w:t>.</w:t>
      </w:r>
    </w:p>
    <w:p>
      <w:pPr>
        <w:pStyle w:val="ListBullet"/>
      </w:pPr>
      <w:r>
        <w:t xml:space="preserve">Post-money — </w:t>
      </w:r>
      <w:r>
        <w:rPr>
          <w:b/>
        </w:rPr>
        <w:t>$ 115 млн (₽ 8,23 млрд)</w:t>
      </w:r>
      <w:r>
        <w:t xml:space="preserve"> при стартовом раунде </w:t>
      </w:r>
      <w:r>
        <w:rPr>
          <w:b/>
        </w:rPr>
        <w:t>$ 15 млн (₽ 1,073 млрд)</w:t>
      </w:r>
      <w:r>
        <w:t>.</w:t>
      </w:r>
    </w:p>
    <w:p>
      <w:pPr>
        <w:pStyle w:val="ListBullet"/>
      </w:pPr>
      <w:r>
        <w:t xml:space="preserve">Доля инвестора — </w:t>
      </w:r>
      <w:r>
        <w:rPr>
          <w:b/>
        </w:rPr>
        <w:t>13,04%</w:t>
      </w:r>
      <w:r>
        <w:t>.</w:t>
      </w:r>
    </w:p>
    <w:p>
      <w:pPr>
        <w:pStyle w:val="ListBullet"/>
      </w:pPr>
      <w:r>
        <w:t xml:space="preserve">FX зафиксирован на конец мая 2026: </w:t>
      </w:r>
      <w:r>
        <w:rPr>
          <w:b/>
        </w:rPr>
        <w:t>71,55 ₽/$</w:t>
      </w:r>
      <w:r>
        <w:t>.</w:t>
      </w:r>
    </w:p>
    <w:p>
      <w:pPr>
        <w:pStyle w:val="Heading2"/>
      </w:pPr>
      <w:r/>
      <w:r>
        <w:t>2. Методология DCF (доходный подход)</w:t>
      </w:r>
    </w:p>
    <w:p>
      <w:pPr>
        <w:pStyle w:val="Heading3"/>
      </w:pPr>
      <w:r/>
      <w:r>
        <w:t>2.1. Источник денежных потоков</w:t>
      </w:r>
    </w:p>
    <w:p>
      <w:r>
        <w:t>Денежные потоки от операций платформы за горизонт 2025–2034 — из финансовой модели после рефактора OpEx-кривой (</w:t>
      </w:r>
      <w:r>
        <w:rPr>
          <w:rFonts w:ascii="Consolas" w:hAnsi="Consolas"/>
          <w:sz w:val="18"/>
        </w:rPr>
        <w:t>03_Финансовая_модель</w:t>
      </w:r>
      <w:r>
        <w:t>). Потоки номинированы в рублях и не зависят от курса/ставки.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Год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Выручка, млрд ₽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OpEx, млрд ₽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EBITDA, млрд ₽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EBITDA-маржа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CapEx, млрд ₽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FCF, млрд ₽</w:t>
            </w:r>
          </w:p>
        </w:tc>
      </w:tr>
      <w:tr>
        <w:tc>
          <w:tcPr>
            <w:tcW w:type="dxa" w:w="1234"/>
          </w:tcPr>
          <w:p>
            <w:r/>
            <w:r>
              <w:t>2025</w:t>
            </w:r>
          </w:p>
        </w:tc>
        <w:tc>
          <w:tcPr>
            <w:tcW w:type="dxa" w:w="1234"/>
          </w:tcPr>
          <w:p>
            <w:r/>
            <w:r>
              <w:t>0,00</w:t>
            </w:r>
          </w:p>
        </w:tc>
        <w:tc>
          <w:tcPr>
            <w:tcW w:type="dxa" w:w="1234"/>
          </w:tcPr>
          <w:p>
            <w:r/>
            <w:r>
              <w:t>0,72</w:t>
            </w:r>
          </w:p>
        </w:tc>
        <w:tc>
          <w:tcPr>
            <w:tcW w:type="dxa" w:w="1234"/>
          </w:tcPr>
          <w:p>
            <w:r/>
            <w:r>
              <w:t>-0,72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0,30</w:t>
            </w:r>
          </w:p>
        </w:tc>
        <w:tc>
          <w:tcPr>
            <w:tcW w:type="dxa" w:w="1234"/>
          </w:tcPr>
          <w:p>
            <w:r/>
            <w:r>
              <w:t>-1,02</w:t>
            </w:r>
          </w:p>
        </w:tc>
      </w:tr>
      <w:tr>
        <w:tc>
          <w:tcPr>
            <w:tcW w:type="dxa" w:w="1234"/>
          </w:tcPr>
          <w:p>
            <w:r/>
            <w:r>
              <w:t>2026</w:t>
            </w:r>
          </w:p>
        </w:tc>
        <w:tc>
          <w:tcPr>
            <w:tcW w:type="dxa" w:w="1234"/>
          </w:tcPr>
          <w:p>
            <w:r/>
            <w:r>
              <w:t>0,18</w:t>
            </w:r>
          </w:p>
        </w:tc>
        <w:tc>
          <w:tcPr>
            <w:tcW w:type="dxa" w:w="1234"/>
          </w:tcPr>
          <w:p>
            <w:r/>
            <w:r>
              <w:t>0,82</w:t>
            </w:r>
          </w:p>
        </w:tc>
        <w:tc>
          <w:tcPr>
            <w:tcW w:type="dxa" w:w="1234"/>
          </w:tcPr>
          <w:p>
            <w:r/>
            <w:r>
              <w:t>-0,64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0,42</w:t>
            </w:r>
          </w:p>
        </w:tc>
        <w:tc>
          <w:tcPr>
            <w:tcW w:type="dxa" w:w="1234"/>
          </w:tcPr>
          <w:p>
            <w:r/>
            <w:r>
              <w:t>-1,06</w:t>
            </w:r>
          </w:p>
        </w:tc>
      </w:tr>
      <w:tr>
        <w:tc>
          <w:tcPr>
            <w:tcW w:type="dxa" w:w="1234"/>
          </w:tcPr>
          <w:p>
            <w:r/>
            <w:r>
              <w:t>2027</w:t>
            </w:r>
          </w:p>
        </w:tc>
        <w:tc>
          <w:tcPr>
            <w:tcW w:type="dxa" w:w="1234"/>
          </w:tcPr>
          <w:p>
            <w:r/>
            <w:r>
              <w:t>2,80</w:t>
            </w:r>
          </w:p>
        </w:tc>
        <w:tc>
          <w:tcPr>
            <w:tcW w:type="dxa" w:w="1234"/>
          </w:tcPr>
          <w:p>
            <w:r/>
            <w:r>
              <w:t>1,46</w:t>
            </w:r>
          </w:p>
        </w:tc>
        <w:tc>
          <w:tcPr>
            <w:tcW w:type="dxa" w:w="1234"/>
          </w:tcPr>
          <w:p>
            <w:r/>
            <w:r>
              <w:t>1,34</w:t>
            </w:r>
          </w:p>
        </w:tc>
        <w:tc>
          <w:tcPr>
            <w:tcW w:type="dxa" w:w="1234"/>
          </w:tcPr>
          <w:p>
            <w:r/>
            <w:r>
              <w:t>47,9%</w:t>
            </w:r>
          </w:p>
        </w:tc>
        <w:tc>
          <w:tcPr>
            <w:tcW w:type="dxa" w:w="1234"/>
          </w:tcPr>
          <w:p>
            <w:r/>
            <w:r>
              <w:t>0,40</w:t>
            </w:r>
          </w:p>
        </w:tc>
        <w:tc>
          <w:tcPr>
            <w:tcW w:type="dxa" w:w="1234"/>
          </w:tcPr>
          <w:p>
            <w:r/>
            <w:r>
              <w:t>0,72</w:t>
            </w:r>
          </w:p>
        </w:tc>
      </w:tr>
      <w:tr>
        <w:tc>
          <w:tcPr>
            <w:tcW w:type="dxa" w:w="1234"/>
          </w:tcPr>
          <w:p>
            <w:r/>
            <w:r>
              <w:t>2028</w:t>
            </w:r>
          </w:p>
        </w:tc>
        <w:tc>
          <w:tcPr>
            <w:tcW w:type="dxa" w:w="1234"/>
          </w:tcPr>
          <w:p>
            <w:r/>
            <w:r>
              <w:t>11,10</w:t>
            </w:r>
          </w:p>
        </w:tc>
        <w:tc>
          <w:tcPr>
            <w:tcW w:type="dxa" w:w="1234"/>
          </w:tcPr>
          <w:p>
            <w:r/>
            <w:r>
              <w:t>3,80</w:t>
            </w:r>
          </w:p>
        </w:tc>
        <w:tc>
          <w:tcPr>
            <w:tcW w:type="dxa" w:w="1234"/>
          </w:tcPr>
          <w:p>
            <w:r/>
            <w:r>
              <w:t>7,30</w:t>
            </w:r>
          </w:p>
        </w:tc>
        <w:tc>
          <w:tcPr>
            <w:tcW w:type="dxa" w:w="1234"/>
          </w:tcPr>
          <w:p>
            <w:r/>
            <w:r>
              <w:t>65,8%</w:t>
            </w:r>
          </w:p>
        </w:tc>
        <w:tc>
          <w:tcPr>
            <w:tcW w:type="dxa" w:w="1234"/>
          </w:tcPr>
          <w:p>
            <w:r/>
            <w:r>
              <w:t>0,55</w:t>
            </w:r>
          </w:p>
        </w:tc>
        <w:tc>
          <w:tcPr>
            <w:tcW w:type="dxa" w:w="1234"/>
          </w:tcPr>
          <w:p>
            <w:r/>
            <w:r>
              <w:t>5,68</w:t>
            </w:r>
          </w:p>
        </w:tc>
      </w:tr>
      <w:tr>
        <w:tc>
          <w:tcPr>
            <w:tcW w:type="dxa" w:w="1234"/>
          </w:tcPr>
          <w:p>
            <w:r/>
            <w:r>
              <w:t>2029</w:t>
            </w:r>
          </w:p>
        </w:tc>
        <w:tc>
          <w:tcPr>
            <w:tcW w:type="dxa" w:w="1234"/>
          </w:tcPr>
          <w:p>
            <w:r/>
            <w:r>
              <w:t>37,50</w:t>
            </w:r>
          </w:p>
        </w:tc>
        <w:tc>
          <w:tcPr>
            <w:tcW w:type="dxa" w:w="1234"/>
          </w:tcPr>
          <w:p>
            <w:r/>
            <w:r>
              <w:t>11,75</w:t>
            </w:r>
          </w:p>
        </w:tc>
        <w:tc>
          <w:tcPr>
            <w:tcW w:type="dxa" w:w="1234"/>
          </w:tcPr>
          <w:p>
            <w:r/>
            <w:r>
              <w:t>25,75</w:t>
            </w:r>
          </w:p>
        </w:tc>
        <w:tc>
          <w:tcPr>
            <w:tcW w:type="dxa" w:w="1234"/>
          </w:tcPr>
          <w:p>
            <w:r/>
            <w:r>
              <w:t>68,7%</w:t>
            </w:r>
          </w:p>
        </w:tc>
        <w:tc>
          <w:tcPr>
            <w:tcW w:type="dxa" w:w="1234"/>
          </w:tcPr>
          <w:p>
            <w:r/>
            <w:r>
              <w:t>1,80</w:t>
            </w:r>
          </w:p>
        </w:tc>
        <w:tc>
          <w:tcPr>
            <w:tcW w:type="dxa" w:w="1234"/>
          </w:tcPr>
          <w:p>
            <w:r/>
            <w:r>
              <w:t>19,28</w:t>
            </w:r>
          </w:p>
        </w:tc>
      </w:tr>
      <w:tr>
        <w:tc>
          <w:tcPr>
            <w:tcW w:type="dxa" w:w="1234"/>
          </w:tcPr>
          <w:p>
            <w:r/>
            <w:r>
              <w:t>2030</w:t>
            </w:r>
          </w:p>
        </w:tc>
        <w:tc>
          <w:tcPr>
            <w:tcW w:type="dxa" w:w="1234"/>
          </w:tcPr>
          <w:p>
            <w:r/>
            <w:r>
              <w:t>65,00</w:t>
            </w:r>
          </w:p>
        </w:tc>
        <w:tc>
          <w:tcPr>
            <w:tcW w:type="dxa" w:w="1234"/>
          </w:tcPr>
          <w:p>
            <w:r/>
            <w:r>
              <w:t>19,30</w:t>
            </w:r>
          </w:p>
        </w:tc>
        <w:tc>
          <w:tcPr>
            <w:tcW w:type="dxa" w:w="1234"/>
          </w:tcPr>
          <w:p>
            <w:r/>
            <w:r>
              <w:t>45,70</w:t>
            </w:r>
          </w:p>
        </w:tc>
        <w:tc>
          <w:tcPr>
            <w:tcW w:type="dxa" w:w="1234"/>
          </w:tcPr>
          <w:p>
            <w:r/>
            <w:r>
              <w:t>70,3%</w:t>
            </w:r>
          </w:p>
        </w:tc>
        <w:tc>
          <w:tcPr>
            <w:tcW w:type="dxa" w:w="1234"/>
          </w:tcPr>
          <w:p>
            <w:r/>
            <w:r>
              <w:t>2,40</w:t>
            </w:r>
          </w:p>
        </w:tc>
        <w:tc>
          <w:tcPr>
            <w:tcW w:type="dxa" w:w="1234"/>
          </w:tcPr>
          <w:p>
            <w:r/>
            <w:r>
              <w:t>35,02</w:t>
            </w:r>
          </w:p>
        </w:tc>
      </w:tr>
      <w:tr>
        <w:tc>
          <w:tcPr>
            <w:tcW w:type="dxa" w:w="1234"/>
          </w:tcPr>
          <w:p>
            <w:r/>
            <w:r>
              <w:t>2031</w:t>
            </w:r>
          </w:p>
        </w:tc>
        <w:tc>
          <w:tcPr>
            <w:tcW w:type="dxa" w:w="1234"/>
          </w:tcPr>
          <w:p>
            <w:r/>
            <w:r>
              <w:t>91,30</w:t>
            </w:r>
          </w:p>
        </w:tc>
        <w:tc>
          <w:tcPr>
            <w:tcW w:type="dxa" w:w="1234"/>
          </w:tcPr>
          <w:p>
            <w:r/>
            <w:r>
              <w:t>26,40</w:t>
            </w:r>
          </w:p>
        </w:tc>
        <w:tc>
          <w:tcPr>
            <w:tcW w:type="dxa" w:w="1234"/>
          </w:tcPr>
          <w:p>
            <w:r/>
            <w:r>
              <w:t>64,90</w:t>
            </w:r>
          </w:p>
        </w:tc>
        <w:tc>
          <w:tcPr>
            <w:tcW w:type="dxa" w:w="1234"/>
          </w:tcPr>
          <w:p>
            <w:r/>
            <w:r>
              <w:t>71,1%</w:t>
            </w:r>
          </w:p>
        </w:tc>
        <w:tc>
          <w:tcPr>
            <w:tcW w:type="dxa" w:w="1234"/>
          </w:tcPr>
          <w:p>
            <w:r/>
            <w:r>
              <w:t>1,60</w:t>
            </w:r>
          </w:p>
        </w:tc>
        <w:tc>
          <w:tcPr>
            <w:tcW w:type="dxa" w:w="1234"/>
          </w:tcPr>
          <w:p>
            <w:r/>
            <w:r>
              <w:t>50,80</w:t>
            </w:r>
          </w:p>
        </w:tc>
      </w:tr>
      <w:tr>
        <w:tc>
          <w:tcPr>
            <w:tcW w:type="dxa" w:w="1234"/>
          </w:tcPr>
          <w:p>
            <w:r/>
            <w:r>
              <w:t>2032</w:t>
            </w:r>
          </w:p>
        </w:tc>
        <w:tc>
          <w:tcPr>
            <w:tcW w:type="dxa" w:w="1234"/>
          </w:tcPr>
          <w:p>
            <w:r/>
            <w:r>
              <w:t>110,40</w:t>
            </w:r>
          </w:p>
        </w:tc>
        <w:tc>
          <w:tcPr>
            <w:tcW w:type="dxa" w:w="1234"/>
          </w:tcPr>
          <w:p>
            <w:r/>
            <w:r>
              <w:t>30,80</w:t>
            </w:r>
          </w:p>
        </w:tc>
        <w:tc>
          <w:tcPr>
            <w:tcW w:type="dxa" w:w="1234"/>
          </w:tcPr>
          <w:p>
            <w:r/>
            <w:r>
              <w:t>79,60</w:t>
            </w:r>
          </w:p>
        </w:tc>
        <w:tc>
          <w:tcPr>
            <w:tcW w:type="dxa" w:w="1234"/>
          </w:tcPr>
          <w:p>
            <w:r/>
            <w:r>
              <w:t>72,1%</w:t>
            </w:r>
          </w:p>
        </w:tc>
        <w:tc>
          <w:tcPr>
            <w:tcW w:type="dxa" w:w="1234"/>
          </w:tcPr>
          <w:p>
            <w:r/>
            <w:r>
              <w:t>1,80</w:t>
            </w:r>
          </w:p>
        </w:tc>
        <w:tc>
          <w:tcPr>
            <w:tcW w:type="dxa" w:w="1234"/>
          </w:tcPr>
          <w:p>
            <w:r/>
            <w:r>
              <w:t>62,50</w:t>
            </w:r>
          </w:p>
        </w:tc>
      </w:tr>
      <w:tr>
        <w:tc>
          <w:tcPr>
            <w:tcW w:type="dxa" w:w="1234"/>
          </w:tcPr>
          <w:p>
            <w:r/>
            <w:r>
              <w:t>2033</w:t>
            </w:r>
          </w:p>
        </w:tc>
        <w:tc>
          <w:tcPr>
            <w:tcW w:type="dxa" w:w="1234"/>
          </w:tcPr>
          <w:p>
            <w:r/>
            <w:r>
              <w:t>125,80</w:t>
            </w:r>
          </w:p>
        </w:tc>
        <w:tc>
          <w:tcPr>
            <w:tcW w:type="dxa" w:w="1234"/>
          </w:tcPr>
          <w:p>
            <w:r/>
            <w:r>
              <w:t>33,90</w:t>
            </w:r>
          </w:p>
        </w:tc>
        <w:tc>
          <w:tcPr>
            <w:tcW w:type="dxa" w:w="1234"/>
          </w:tcPr>
          <w:p>
            <w:r/>
            <w:r>
              <w:t>91,90</w:t>
            </w:r>
          </w:p>
        </w:tc>
        <w:tc>
          <w:tcPr>
            <w:tcW w:type="dxa" w:w="1234"/>
          </w:tcPr>
          <w:p>
            <w:r/>
            <w:r>
              <w:t>73,1%</w:t>
            </w:r>
          </w:p>
        </w:tc>
        <w:tc>
          <w:tcPr>
            <w:tcW w:type="dxa" w:w="1234"/>
          </w:tcPr>
          <w:p>
            <w:r/>
            <w:r>
              <w:t>2,30</w:t>
            </w:r>
          </w:p>
        </w:tc>
        <w:tc>
          <w:tcPr>
            <w:tcW w:type="dxa" w:w="1234"/>
          </w:tcPr>
          <w:p>
            <w:r/>
            <w:r>
              <w:t>71,80</w:t>
            </w:r>
          </w:p>
        </w:tc>
      </w:tr>
      <w:tr>
        <w:tc>
          <w:tcPr>
            <w:tcW w:type="dxa" w:w="1234"/>
          </w:tcPr>
          <w:p>
            <w:r/>
            <w:r>
              <w:t>2034</w:t>
            </w:r>
          </w:p>
        </w:tc>
        <w:tc>
          <w:tcPr>
            <w:tcW w:type="dxa" w:w="1234"/>
          </w:tcPr>
          <w:p>
            <w:r/>
            <w:r>
              <w:t>137,90</w:t>
            </w:r>
          </w:p>
        </w:tc>
        <w:tc>
          <w:tcPr>
            <w:tcW w:type="dxa" w:w="1234"/>
          </w:tcPr>
          <w:p>
            <w:r/>
            <w:r>
              <w:t>34,80</w:t>
            </w:r>
          </w:p>
        </w:tc>
        <w:tc>
          <w:tcPr>
            <w:tcW w:type="dxa" w:w="1234"/>
          </w:tcPr>
          <w:p>
            <w:r/>
            <w:r>
              <w:t>103,10</w:t>
            </w:r>
          </w:p>
        </w:tc>
        <w:tc>
          <w:tcPr>
            <w:tcW w:type="dxa" w:w="1234"/>
          </w:tcPr>
          <w:p>
            <w:r/>
            <w:r>
              <w:t>74,8%</w:t>
            </w:r>
          </w:p>
        </w:tc>
        <w:tc>
          <w:tcPr>
            <w:tcW w:type="dxa" w:w="1234"/>
          </w:tcPr>
          <w:p>
            <w:r/>
            <w:r>
              <w:t>2,00</w:t>
            </w:r>
          </w:p>
        </w:tc>
        <w:tc>
          <w:tcPr>
            <w:tcW w:type="dxa" w:w="1234"/>
          </w:tcPr>
          <w:p>
            <w:r/>
            <w:r>
              <w:t>81,30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Сумма FCF 2025–2034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rPr>
                <w:b/>
              </w:rPr>
              <w:t>325,02</w:t>
            </w:r>
          </w:p>
        </w:tc>
      </w:tr>
    </w:tbl>
    <w:p>
      <w:r>
        <w:t xml:space="preserve">EBITDA-маржа в зрелой фазе сходится к </w:t>
      </w:r>
      <w:r>
        <w:rPr>
          <w:b/>
        </w:rPr>
        <w:t>74,8%</w:t>
      </w:r>
      <w:r>
        <w:t xml:space="preserve"> — попадает в диапазон tier-1 fintech-операторов (Visa 67%, Мосбиржа 75%, депозитарии 50–65%).</w:t>
      </w:r>
    </w:p>
    <w:p>
      <w:pPr>
        <w:pStyle w:val="Heading3"/>
      </w:pPr>
      <w:r/>
      <w:r>
        <w:t>2.2. Ставка дисконтирования (WACC)</w:t>
      </w:r>
    </w:p>
    <w:p>
      <w:r>
        <w:t>Build-up под фактическую макру (соответствует § 9.1 формального отчёта об оценке):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Risk-free rate (10Y ОФЗ, RUB, 21.05.2026)</w:t>
            </w:r>
          </w:p>
        </w:tc>
        <w:tc>
          <w:tcPr>
            <w:tcW w:type="dxa" w:w="4320"/>
          </w:tcPr>
          <w:p>
            <w:r/>
            <w:r>
              <w:t>14,73%</w:t>
            </w:r>
          </w:p>
        </w:tc>
      </w:tr>
      <w:tr>
        <w:tc>
          <w:tcPr>
            <w:tcW w:type="dxa" w:w="4320"/>
          </w:tcPr>
          <w:p>
            <w:r/>
            <w:r>
              <w:t>ERP × β (РФ, β 1,15)</w:t>
            </w:r>
          </w:p>
        </w:tc>
        <w:tc>
          <w:tcPr>
            <w:tcW w:type="dxa" w:w="4320"/>
          </w:tcPr>
          <w:p>
            <w:r/>
            <w:r>
              <w:t>8,13% × 1,15 = 9,35%</w:t>
            </w:r>
          </w:p>
        </w:tc>
      </w:tr>
      <w:tr>
        <w:tc>
          <w:tcPr>
            <w:tcW w:type="dxa" w:w="4320"/>
          </w:tcPr>
          <w:p>
            <w:r/>
            <w:r>
              <w:t>Stage premium (Pre-MVP-Pro)</w:t>
            </w:r>
          </w:p>
        </w:tc>
        <w:tc>
          <w:tcPr>
            <w:tcW w:type="dxa" w:w="4320"/>
          </w:tcPr>
          <w:p>
            <w:r/>
            <w:r>
              <w:t>2,5%</w:t>
            </w:r>
          </w:p>
        </w:tc>
      </w:tr>
      <w:tr>
        <w:tc>
          <w:tcPr>
            <w:tcW w:type="dxa" w:w="4320"/>
          </w:tcPr>
          <w:p>
            <w:r/>
            <w:r>
              <w:t>Liquidity / size premium</w:t>
            </w:r>
          </w:p>
        </w:tc>
        <w:tc>
          <w:tcPr>
            <w:tcW w:type="dxa" w:w="4320"/>
          </w:tcPr>
          <w:p>
            <w:r/>
            <w:r>
              <w:t>3,0%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WACC (RUB) — итог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29,58% → 29,5%</w:t>
            </w:r>
          </w:p>
        </w:tc>
      </w:tr>
    </w:tbl>
    <w:p>
      <w:r>
        <w:t>Sanity-check: КС ЦБ 14,5% + спред ≈ 29,5%. Альтернативный WACC по global comparables (USD-denominated, CRP 3,9% включён): ≈ 16,75%. В DCF используется RUB-WACC 29,5%.</w:t>
      </w:r>
    </w:p>
    <w:p>
      <w:pPr>
        <w:pStyle w:val="Heading3"/>
      </w:pPr>
      <w:r/>
      <w:r>
        <w:t>2.3. Multi-stage Terminal Value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Фаза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Годы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Темп роста 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EBITDA-маржа</w:t>
            </w:r>
          </w:p>
        </w:tc>
      </w:tr>
      <w:tr>
        <w:tc>
          <w:tcPr>
            <w:tcW w:type="dxa" w:w="2160"/>
          </w:tcPr>
          <w:p>
            <w:r/>
            <w:r>
              <w:t>Стадия I — зрелость</w:t>
            </w:r>
          </w:p>
        </w:tc>
        <w:tc>
          <w:tcPr>
            <w:tcW w:type="dxa" w:w="2160"/>
          </w:tcPr>
          <w:p>
            <w:r/>
            <w:r>
              <w:t>2035–2039</w:t>
            </w:r>
          </w:p>
        </w:tc>
        <w:tc>
          <w:tcPr>
            <w:tcW w:type="dxa" w:w="2160"/>
          </w:tcPr>
          <w:p>
            <w:r/>
            <w:r>
              <w:t>6% → 4%</w:t>
            </w:r>
          </w:p>
        </w:tc>
        <w:tc>
          <w:tcPr>
            <w:tcW w:type="dxa" w:w="2160"/>
          </w:tcPr>
          <w:p>
            <w:r/>
            <w:r>
              <w:t>75% → 70%</w:t>
            </w:r>
          </w:p>
        </w:tc>
      </w:tr>
      <w:tr>
        <w:tc>
          <w:tcPr>
            <w:tcW w:type="dxa" w:w="2160"/>
          </w:tcPr>
          <w:p>
            <w:r/>
            <w:r>
              <w:t>Стадия II — стабильность</w:t>
            </w:r>
          </w:p>
        </w:tc>
        <w:tc>
          <w:tcPr>
            <w:tcW w:type="dxa" w:w="2160"/>
          </w:tcPr>
          <w:p>
            <w:r/>
            <w:r>
              <w:t>2040–2044</w:t>
            </w:r>
          </w:p>
        </w:tc>
        <w:tc>
          <w:tcPr>
            <w:tcW w:type="dxa" w:w="2160"/>
          </w:tcPr>
          <w:p>
            <w:r/>
            <w:r>
              <w:t>3,5% → 2,5%</w:t>
            </w:r>
          </w:p>
        </w:tc>
        <w:tc>
          <w:tcPr>
            <w:tcW w:type="dxa" w:w="2160"/>
          </w:tcPr>
          <w:p>
            <w:r/>
            <w:r>
              <w:t>70% → 65%</w:t>
            </w:r>
          </w:p>
        </w:tc>
      </w:tr>
      <w:tr>
        <w:tc>
          <w:tcPr>
            <w:tcW w:type="dxa" w:w="2160"/>
          </w:tcPr>
          <w:p>
            <w:r/>
            <w:r>
              <w:t>Стадия III — perpetuity</w:t>
            </w:r>
          </w:p>
        </w:tc>
        <w:tc>
          <w:tcPr>
            <w:tcW w:type="dxa" w:w="2160"/>
          </w:tcPr>
          <w:p>
            <w:r/>
            <w:r>
              <w:t>2045+</w:t>
            </w:r>
          </w:p>
        </w:tc>
        <w:tc>
          <w:tcPr>
            <w:tcW w:type="dxa" w:w="2160"/>
          </w:tcPr>
          <w:p>
            <w:r/>
            <w:r>
              <w:t>2,0% (= ½ от таргета ЦБ)</w:t>
            </w:r>
          </w:p>
        </w:tc>
        <w:tc>
          <w:tcPr>
            <w:tcW w:type="dxa" w:w="2160"/>
          </w:tcPr>
          <w:p>
            <w:r/>
            <w:r>
              <w:t>60%</w:t>
            </w:r>
          </w:p>
        </w:tc>
      </w:tr>
    </w:tbl>
    <w:p>
      <w:pPr>
        <w:pStyle w:val="ListBullet"/>
      </w:pPr>
      <w:r>
        <w:t>TV на конец 2034 (Gordon, g=2% конс.) = FCF₂₀₃₄ × (1+g)/(WACC − g) = 81,3 × 1,02/(0,295 − 0,02) ≈ 302 млрд ₽.</w:t>
      </w:r>
    </w:p>
    <w:p>
      <w:pPr>
        <w:pStyle w:val="ListBullet"/>
      </w:pPr>
      <w:r>
        <w:t xml:space="preserve">Дисконтировано к 2025 (full-year, ÷1,295¹⁰): </w:t>
      </w:r>
      <w:r>
        <w:rPr>
          <w:b/>
        </w:rPr>
        <w:t>PV Terminal Value ≈ 20,5 млрд ₽; доля TV в полной NPV ≈ 32%</w:t>
      </w:r>
      <w:r>
        <w:t xml:space="preserve"> (стандартный уровень для растущего fintech).</w:t>
      </w:r>
    </w:p>
    <w:p>
      <w:r>
        <w:t xml:space="preserve">&gt; ⚠️ Исправление: прежняя оценка TV (7,78, доля 12,3%) была арифметически занижена ~втрое (см. </w:t>
      </w:r>
      <w:r>
        <w:rPr>
          <w:rFonts w:ascii="Consolas" w:hAnsi="Consolas"/>
          <w:sz w:val="18"/>
        </w:rPr>
        <w:t>03_Финансовая_модель/Методология_DCF_диагноз_2026-06-10.md</w:t>
      </w:r>
      <w:r>
        <w:t>).</w:t>
      </w:r>
    </w:p>
    <w:p>
      <w:pPr>
        <w:pStyle w:val="Heading3"/>
      </w:pPr>
      <w:r/>
      <w:r>
        <w:t>2.4. Итог DCF (синхронизирован с формальным отчётом об оценке § 9.3–9.5)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млрд ₽</w:t>
            </w:r>
          </w:p>
        </w:tc>
      </w:tr>
      <w:tr>
        <w:tc>
          <w:tcPr>
            <w:tcW w:type="dxa" w:w="4320"/>
          </w:tcPr>
          <w:p>
            <w:r/>
            <w:r>
              <w:t>Сумма дисконтированных FCF (2025–2034, WACC 29,5%, full-year)</w:t>
            </w:r>
          </w:p>
        </w:tc>
        <w:tc>
          <w:tcPr>
            <w:tcW w:type="dxa" w:w="4320"/>
          </w:tcPr>
          <w:p>
            <w:r/>
            <w:r>
              <w:t>43,0</w:t>
            </w:r>
          </w:p>
        </w:tc>
      </w:tr>
      <w:tr>
        <w:tc>
          <w:tcPr>
            <w:tcW w:type="dxa" w:w="4320"/>
          </w:tcPr>
          <w:p>
            <w:r/>
            <w:r>
              <w:t>Terminal Value дисконтированный (Gordon g=2%, конс.)</w:t>
            </w:r>
          </w:p>
        </w:tc>
        <w:tc>
          <w:tcPr>
            <w:tcW w:type="dxa" w:w="4320"/>
          </w:tcPr>
          <w:p>
            <w:r/>
            <w:r>
              <w:t>20,5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Enterprise Value (DCF) — защитимая база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≈ 63,5</w:t>
            </w:r>
          </w:p>
        </w:tc>
      </w:tr>
    </w:tbl>
    <w:p>
      <w:r>
        <w:t xml:space="preserve">&gt; Декомпозиция исправлена 10.06.2026 (полный разбор — </w:t>
      </w:r>
      <w:r>
        <w:rPr>
          <w:rFonts w:ascii="Consolas" w:hAnsi="Consolas"/>
          <w:sz w:val="18"/>
        </w:rPr>
        <w:t>03_Финансовая_модель/Методология_DCF_диагноз_2026-06-10.md</w:t>
      </w:r>
      <w:r>
        <w:t>). Защитимый диапазон EV — 63–83 млрд ₽: консервативная стойка (выручка 138) ≈ 63–66; арифметически согласованная (выручка 175, finmodel) ≈ 75–83. Выбор стойки — за заказчиком.</w:t>
      </w:r>
    </w:p>
    <w:p>
      <w:pPr>
        <w:pStyle w:val="Heading3"/>
      </w:pPr>
      <w:r/>
      <w:r>
        <w:t>2.5. Pre-money DCF</w:t>
      </w:r>
    </w:p>
    <w:p>
      <w:r>
        <w:t xml:space="preserve">На стадии «MVP + готовая клиентская часть» применён </w:t>
      </w:r>
      <w:r>
        <w:rPr>
          <w:b/>
        </w:rPr>
        <w:t>единый stage discount 60%</w:t>
      </w:r>
      <w:r>
        <w:t xml:space="preserve"> (без double-counting):</w:t>
      </w:r>
    </w:p>
    <w:p>
      <w:pPr>
        <w:pStyle w:val="ListBullet"/>
      </w:pPr>
      <w:r>
        <w:t>регуляторный риск (бинарность поправок в 86-ФЗ — снижен в Stage 1 wedge-конструкции через Атомайз / ВЭБ.РФ);</w:t>
      </w:r>
    </w:p>
    <w:p>
      <w:pPr>
        <w:pStyle w:val="ListBullet"/>
      </w:pPr>
      <w:r>
        <w:t>риск исполнения снижен; технологический риск клиентской части — снят (приложение готово);</w:t>
      </w:r>
    </w:p>
    <w:p>
      <w:pPr>
        <w:pStyle w:val="ListBullet"/>
      </w:pPr>
      <w:r>
        <w:t>exit-discount компонента включена.</w:t>
      </w:r>
    </w:p>
    <w:p>
      <w:r>
        <w:rPr>
          <w:b/>
        </w:rPr>
        <w:t>DCF pre-money = ₽ 63,45 млрд × 0,40 (1 − stage discount 60%) ≈ ₽ 25,4 млрд ≈ $ 355 млн</w:t>
      </w:r>
      <w:r>
        <w:t xml:space="preserve"> (при FX 71,55). Защитимый upper bound при расширенном TV: $ 400 млн.</w:t>
      </w:r>
    </w:p>
    <w:p>
      <w:pPr>
        <w:pStyle w:val="Heading2"/>
      </w:pPr>
      <w:r/>
      <w:r>
        <w:t>3. Comparable Multiples (рыночный подход)</w:t>
      </w:r>
    </w:p>
    <w:p>
      <w:pPr>
        <w:pStyle w:val="Heading3"/>
      </w:pPr>
      <w:r/>
      <w:r>
        <w:t>3.1. Сопоставимые публичные и частные компании (2026)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Компания / сделка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Сегмент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Стадия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EV, $ млн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Revenue, $ млн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EV/Revenue</w:t>
            </w:r>
          </w:p>
        </w:tc>
      </w:tr>
      <w:tr>
        <w:tc>
          <w:tcPr>
            <w:tcW w:type="dxa" w:w="1440"/>
          </w:tcPr>
          <w:p>
            <w:r/>
            <w:r>
              <w:t>Securitize (RWA-tokenization, US)</w:t>
            </w:r>
          </w:p>
        </w:tc>
        <w:tc>
          <w:tcPr>
            <w:tcW w:type="dxa" w:w="1440"/>
          </w:tcPr>
          <w:p>
            <w:r/>
            <w:r>
              <w:t>RWA</w:t>
            </w:r>
          </w:p>
        </w:tc>
        <w:tc>
          <w:tcPr>
            <w:tcW w:type="dxa" w:w="1440"/>
          </w:tcPr>
          <w:p>
            <w:r/>
            <w:r>
              <w:t>Series C</w:t>
            </w:r>
          </w:p>
        </w:tc>
        <w:tc>
          <w:tcPr>
            <w:tcW w:type="dxa" w:w="1440"/>
          </w:tcPr>
          <w:p>
            <w:r/>
            <w:r>
              <w:t>980</w:t>
            </w:r>
          </w:p>
        </w:tc>
        <w:tc>
          <w:tcPr>
            <w:tcW w:type="dxa" w:w="1440"/>
          </w:tcPr>
          <w:p>
            <w:r/>
            <w:r>
              <w:t>60</w:t>
            </w:r>
          </w:p>
        </w:tc>
        <w:tc>
          <w:tcPr>
            <w:tcW w:type="dxa" w:w="1440"/>
          </w:tcPr>
          <w:p>
            <w:r/>
            <w:r>
              <w:t>16,3x</w:t>
            </w:r>
          </w:p>
        </w:tc>
      </w:tr>
      <w:tr>
        <w:tc>
          <w:tcPr>
            <w:tcW w:type="dxa" w:w="1440"/>
          </w:tcPr>
          <w:p>
            <w:r/>
            <w:r>
              <w:t>Polymath / Tokeny</w:t>
            </w:r>
          </w:p>
        </w:tc>
        <w:tc>
          <w:tcPr>
            <w:tcW w:type="dxa" w:w="1440"/>
          </w:tcPr>
          <w:p>
            <w:r/>
            <w:r>
              <w:t>Security Tokens</w:t>
            </w:r>
          </w:p>
        </w:tc>
        <w:tc>
          <w:tcPr>
            <w:tcW w:type="dxa" w:w="1440"/>
          </w:tcPr>
          <w:p>
            <w:r/>
            <w:r>
              <w:t>Late-stage</w:t>
            </w:r>
          </w:p>
        </w:tc>
        <w:tc>
          <w:tcPr>
            <w:tcW w:type="dxa" w:w="1440"/>
          </w:tcPr>
          <w:p>
            <w:r/>
            <w:r>
              <w:t>280</w:t>
            </w:r>
          </w:p>
        </w:tc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15,6x</w:t>
            </w:r>
          </w:p>
        </w:tc>
      </w:tr>
      <w:tr>
        <w:tc>
          <w:tcPr>
            <w:tcW w:type="dxa" w:w="1440"/>
          </w:tcPr>
          <w:p>
            <w:r/>
            <w:r>
              <w:t>HQLAx (DLT collateral)</w:t>
            </w:r>
          </w:p>
        </w:tc>
        <w:tc>
          <w:tcPr>
            <w:tcW w:type="dxa" w:w="1440"/>
          </w:tcPr>
          <w:p>
            <w:r/>
            <w:r>
              <w:t>DLT-collateral</w:t>
            </w:r>
          </w:p>
        </w:tc>
        <w:tc>
          <w:tcPr>
            <w:tcW w:type="dxa" w:w="1440"/>
          </w:tcPr>
          <w:p>
            <w:r/>
            <w:r>
              <w:t>Late-stage</w:t>
            </w:r>
          </w:p>
        </w:tc>
        <w:tc>
          <w:tcPr>
            <w:tcW w:type="dxa" w:w="1440"/>
          </w:tcPr>
          <w:p>
            <w:r/>
            <w:r>
              <w:t>180</w:t>
            </w:r>
          </w:p>
        </w:tc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12,9x</w:t>
            </w:r>
          </w:p>
        </w:tc>
      </w:tr>
      <w:tr>
        <w:tc>
          <w:tcPr>
            <w:tcW w:type="dxa" w:w="1440"/>
          </w:tcPr>
          <w:p>
            <w:r/>
            <w:r>
              <w:t>Atomyze (RU)</w:t>
            </w:r>
          </w:p>
        </w:tc>
        <w:tc>
          <w:tcPr>
            <w:tcW w:type="dxa" w:w="1440"/>
          </w:tcPr>
          <w:p>
            <w:r/>
            <w:r>
              <w:t>ЦФА оператор</w:t>
            </w:r>
          </w:p>
        </w:tc>
        <w:tc>
          <w:tcPr>
            <w:tcW w:type="dxa" w:w="1440"/>
          </w:tcPr>
          <w:p>
            <w:r/>
            <w:r>
              <w:t>Series A</w:t>
            </w:r>
          </w:p>
        </w:tc>
        <w:tc>
          <w:tcPr>
            <w:tcW w:type="dxa" w:w="1440"/>
          </w:tcPr>
          <w:p>
            <w:r/>
            <w:r>
              <w:t>~85</w:t>
            </w:r>
          </w:p>
        </w:tc>
        <w:tc>
          <w:tcPr>
            <w:tcW w:type="dxa" w:w="1440"/>
          </w:tcPr>
          <w:p>
            <w:r/>
            <w:r>
              <w:t>~6</w:t>
            </w:r>
          </w:p>
        </w:tc>
        <w:tc>
          <w:tcPr>
            <w:tcW w:type="dxa" w:w="1440"/>
          </w:tcPr>
          <w:p>
            <w:r/>
            <w:r>
              <w:t>14,2x</w:t>
            </w:r>
          </w:p>
        </w:tc>
      </w:tr>
      <w:tr>
        <w:tc>
          <w:tcPr>
            <w:tcW w:type="dxa" w:w="1440"/>
          </w:tcPr>
          <w:p>
            <w:r/>
            <w:r>
              <w:t>СберCFA (экспертная оценка)</w:t>
            </w:r>
          </w:p>
        </w:tc>
        <w:tc>
          <w:tcPr>
            <w:tcW w:type="dxa" w:w="1440"/>
          </w:tcPr>
          <w:p>
            <w:r/>
            <w:r>
              <w:t>ЦФА оператор</w:t>
            </w:r>
          </w:p>
        </w:tc>
        <w:tc>
          <w:tcPr>
            <w:tcW w:type="dxa" w:w="1440"/>
          </w:tcPr>
          <w:p>
            <w:r/>
            <w:r>
              <w:t>Mature</w:t>
            </w:r>
          </w:p>
        </w:tc>
        <w:tc>
          <w:tcPr>
            <w:tcW w:type="dxa" w:w="1440"/>
          </w:tcPr>
          <w:p>
            <w:r/>
            <w:r>
              <w:t>~230</w:t>
            </w:r>
          </w:p>
        </w:tc>
        <w:tc>
          <w:tcPr>
            <w:tcW w:type="dxa" w:w="1440"/>
          </w:tcPr>
          <w:p>
            <w:r/>
            <w:r>
              <w:t>~22</w:t>
            </w:r>
          </w:p>
        </w:tc>
        <w:tc>
          <w:tcPr>
            <w:tcW w:type="dxa" w:w="1440"/>
          </w:tcPr>
          <w:p>
            <w:r/>
            <w:r>
              <w:t>10,5x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Медиана 2026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rPr>
                <w:b/>
              </w:rPr>
              <w:t>14,2x</w:t>
            </w:r>
          </w:p>
        </w:tc>
      </w:tr>
    </w:tbl>
    <w:p>
      <w:pPr>
        <w:pStyle w:val="Heading3"/>
      </w:pPr>
      <w:r/>
      <w:r>
        <w:t>3.2. Применение мультипликатора</w:t>
      </w:r>
    </w:p>
    <w:p>
      <w:pPr>
        <w:pStyle w:val="ListBullet"/>
      </w:pPr>
      <w:r>
        <w:t>Целевая выручка год 5 (2029) — $ 524 млн (₽ 37,5 млрд при FX 71,55).</w:t>
      </w:r>
    </w:p>
    <w:p>
      <w:pPr>
        <w:pStyle w:val="ListBullet"/>
      </w:pPr>
      <w:r>
        <w:t>EV/Revenue 5Y = 14,2x × $ 524 млн = $ 7 441 млн.</w:t>
      </w:r>
    </w:p>
    <w:p>
      <w:pPr>
        <w:pStyle w:val="ListBullet"/>
      </w:pPr>
      <w:r>
        <w:t>Дисконт к pre-money (5-летний, WACC 29,5%) = 1 / 1,295⁵ ≈ 0,278.</w:t>
      </w:r>
    </w:p>
    <w:p>
      <w:pPr>
        <w:pStyle w:val="ListBullet"/>
      </w:pPr>
      <w:r>
        <w:t>Pre-money по Multiples = $ 7 441 млн × 0,278 ≈ $ 2 069 млн.</w:t>
      </w:r>
    </w:p>
    <w:p>
      <w:r>
        <w:t>С учётом стадии «MVP + готовая клиентская часть» (early-stage discount 81,6%):</w:t>
      </w:r>
    </w:p>
    <w:p>
      <w:r>
        <w:rPr>
          <w:b/>
        </w:rPr>
        <w:t>Итоговый pre-money по Comparable Multiples ≈ $ 380 млн (₽ 27,2 млрд)</w:t>
      </w:r>
      <w:r>
        <w:t>.</w:t>
      </w:r>
    </w:p>
    <w:p>
      <w:pPr>
        <w:pStyle w:val="Heading2"/>
      </w:pPr>
      <w:r/>
      <w:r>
        <w:t>4. Berkus / Risk-Adjusted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Фактор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Максимум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Текущая оценка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2160"/>
          </w:tcPr>
          <w:p>
            <w:r/>
            <w:r>
              <w:t>Sound idea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Концепция уникальная, депонирована.</w:t>
            </w:r>
          </w:p>
        </w:tc>
      </w:tr>
      <w:tr>
        <w:tc>
          <w:tcPr>
            <w:tcW w:type="dxa" w:w="2160"/>
          </w:tcPr>
          <w:p>
            <w:r/>
            <w:r>
              <w:t>Prototype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Полностью готов PWA, 23 экрана, оффлайн SW, manifest, screenshots.</w:t>
            </w:r>
          </w:p>
        </w:tc>
      </w:tr>
      <w:tr>
        <w:tc>
          <w:tcPr>
            <w:tcW w:type="dxa" w:w="2160"/>
          </w:tcPr>
          <w:p>
            <w:r/>
            <w:r>
              <w:t>Quality management team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$ 0,35 млн</w:t>
            </w:r>
          </w:p>
        </w:tc>
        <w:tc>
          <w:tcPr>
            <w:tcW w:type="dxa" w:w="2160"/>
          </w:tcPr>
          <w:p>
            <w:r/>
            <w:r>
              <w:t>Автор + начальная команда; промышленный найм впереди.</w:t>
            </w:r>
          </w:p>
        </w:tc>
      </w:tr>
      <w:tr>
        <w:tc>
          <w:tcPr>
            <w:tcW w:type="dxa" w:w="2160"/>
          </w:tcPr>
          <w:p>
            <w:r/>
            <w:r>
              <w:t>Strategic relationships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$ 0,4 млн</w:t>
            </w:r>
          </w:p>
        </w:tc>
        <w:tc>
          <w:tcPr>
            <w:tcW w:type="dxa" w:w="2160"/>
          </w:tcPr>
          <w:p>
            <w:r/>
            <w:r>
              <w:t>Намерены работать с Минэк / Минфин / ВЭБ.РФ / ЦБ.</w:t>
            </w:r>
          </w:p>
        </w:tc>
      </w:tr>
      <w:tr>
        <w:tc>
          <w:tcPr>
            <w:tcW w:type="dxa" w:w="2160"/>
          </w:tcPr>
          <w:p>
            <w:r/>
            <w:r>
              <w:t>Product rollout or sales</w:t>
            </w:r>
          </w:p>
        </w:tc>
        <w:tc>
          <w:tcPr>
            <w:tcW w:type="dxa" w:w="2160"/>
          </w:tcPr>
          <w:p>
            <w:r/>
            <w:r>
              <w:t>$ 0,5 млн</w:t>
            </w:r>
          </w:p>
        </w:tc>
        <w:tc>
          <w:tcPr>
            <w:tcW w:type="dxa" w:w="2160"/>
          </w:tcPr>
          <w:p>
            <w:r/>
            <w:r>
              <w:t>$ 0,3 млн</w:t>
            </w:r>
          </w:p>
        </w:tc>
        <w:tc>
          <w:tcPr>
            <w:tcW w:type="dxa" w:w="2160"/>
          </w:tcPr>
          <w:p>
            <w:r/>
            <w:r>
              <w:t>Готовый комплект для подачи в RuStore + Capacitor-сборки.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Итого Berkus</w:t>
            </w:r>
          </w:p>
        </w:tc>
        <w:tc>
          <w:tcPr>
            <w:tcW w:type="dxa" w:w="2160"/>
          </w:tcPr>
          <w:p>
            <w:r/>
            <w:r>
              <w:t>$ 2,5 млн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$ 2,05 млн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 xml:space="preserve">С учётом российского масштаба, государственного характера и pilot-light-готовности (wedge в действующем 259-ФЗ) применяется коэффициент Risk-Adjusted Berkus </w:t>
      </w:r>
      <w:r>
        <w:rPr>
          <w:b/>
        </w:rPr>
        <w:t>×17</w:t>
      </w:r>
      <w:r>
        <w:t xml:space="preserve">: </w:t>
      </w:r>
      <w:r>
        <w:rPr>
          <w:b/>
        </w:rPr>
        <w:t>Berkus pre-money = $ 35 млн (≈ ₽ 2,5 млрд)</w:t>
      </w:r>
      <w:r>
        <w:t>.</w:t>
      </w:r>
    </w:p>
    <w:p>
      <w:pPr>
        <w:pStyle w:val="Heading2"/>
      </w:pPr>
      <w:r/>
      <w:r>
        <w:t>5. Asset / Replacement-Cost</w:t>
      </w:r>
    </w:p>
    <w:p>
      <w:pPr>
        <w:pStyle w:val="Heading3"/>
      </w:pPr>
      <w:r/>
      <w:r>
        <w:t>5.1. Совокупная стоимость воспроизведения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Раздел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₽ млн</w:t>
            </w:r>
          </w:p>
        </w:tc>
      </w:tr>
      <w:tr>
        <w:tc>
          <w:tcPr>
            <w:tcW w:type="dxa" w:w="4320"/>
          </w:tcPr>
          <w:p>
            <w:r/>
            <w:r>
              <w:t>Серверная часть (разработка, лицензии, сертификация ФСТЭК/ФСБ, юр.сопровождение, OpEx 18 мес.)</w:t>
            </w:r>
          </w:p>
        </w:tc>
        <w:tc>
          <w:tcPr>
            <w:tcW w:type="dxa" w:w="4320"/>
          </w:tcPr>
          <w:p>
            <w:r/>
            <w:r>
              <w:t>645</w:t>
            </w:r>
          </w:p>
        </w:tc>
      </w:tr>
      <w:tr>
        <w:tc>
          <w:tcPr>
            <w:tcW w:type="dxa" w:w="4320"/>
          </w:tcPr>
          <w:p>
            <w:r/>
            <w:r>
              <w:t>Клиентская часть PWA + Capacitor-сборки + локализация 4 языка</w:t>
            </w:r>
          </w:p>
        </w:tc>
        <w:tc>
          <w:tcPr>
            <w:tcW w:type="dxa" w:w="4320"/>
          </w:tcPr>
          <w:p>
            <w:r/>
            <w:r>
              <w:t>68</w:t>
            </w:r>
          </w:p>
        </w:tc>
      </w:tr>
      <w:tr>
        <w:tc>
          <w:tcPr>
            <w:tcW w:type="dxa" w:w="4320"/>
          </w:tcPr>
          <w:p>
            <w:r/>
            <w:r>
              <w:t>Конструкторская документация по ГОСТ 19 (13 документов)</w:t>
            </w:r>
          </w:p>
        </w:tc>
        <w:tc>
          <w:tcPr>
            <w:tcW w:type="dxa" w:w="4320"/>
          </w:tcPr>
          <w:p>
            <w:r/>
            <w:r>
              <w:t>10</w:t>
            </w:r>
          </w:p>
        </w:tc>
      </w:tr>
      <w:tr>
        <w:tc>
          <w:tcPr>
            <w:tcW w:type="dxa" w:w="4320"/>
          </w:tcPr>
          <w:p>
            <w:r/>
            <w:r>
              <w:t>Публикационный пакет RuStore + промо + скриншоты + feature graphic</w:t>
            </w:r>
          </w:p>
        </w:tc>
        <w:tc>
          <w:tcPr>
            <w:tcW w:type="dxa" w:w="4320"/>
          </w:tcPr>
          <w:p>
            <w:r/>
            <w:r>
              <w:t>6</w:t>
            </w:r>
          </w:p>
        </w:tc>
      </w:tr>
      <w:tr>
        <w:tc>
          <w:tcPr>
            <w:tcW w:type="dxa" w:w="4320"/>
          </w:tcPr>
          <w:p>
            <w:r/>
            <w:r>
              <w:t>Маркетинговые материалы (большая презентация, малая, веб-сайт, буклет, pitch deck, доклад)</w:t>
            </w:r>
          </w:p>
        </w:tc>
        <w:tc>
          <w:tcPr>
            <w:tcW w:type="dxa" w:w="4320"/>
          </w:tcPr>
          <w:p>
            <w:r/>
            <w:r>
              <w:t>22</w:t>
            </w:r>
          </w:p>
        </w:tc>
      </w:tr>
      <w:tr>
        <w:tc>
          <w:tcPr>
            <w:tcW w:type="dxa" w:w="4320"/>
          </w:tcPr>
          <w:p>
            <w:r/>
            <w:r>
              <w:t>Брендинг (бренд-бук, дизайн-система, логотипы, дизайн-токены)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Оценка, DD-аудит, экспертное заключение, сводный аудит</w:t>
            </w:r>
          </w:p>
        </w:tc>
        <w:tc>
          <w:tcPr>
            <w:tcW w:type="dxa" w:w="4320"/>
          </w:tcPr>
          <w:p>
            <w:r/>
            <w:r>
              <w:t>22</w:t>
            </w:r>
          </w:p>
        </w:tc>
      </w:tr>
      <w:tr>
        <w:tc>
          <w:tcPr>
            <w:tcW w:type="dxa" w:w="4320"/>
          </w:tcPr>
          <w:p>
            <w:r/>
            <w:r>
              <w:t>Финмодель, бизнес-план, wedge-документ</w:t>
            </w:r>
          </w:p>
        </w:tc>
        <w:tc>
          <w:tcPr>
            <w:tcW w:type="dxa" w:w="4320"/>
          </w:tcPr>
          <w:p>
            <w:r/>
            <w:r>
              <w:t>12</w:t>
            </w:r>
          </w:p>
        </w:tc>
      </w:tr>
      <w:tr>
        <w:tc>
          <w:tcPr>
            <w:tcW w:type="dxa" w:w="4320"/>
          </w:tcPr>
          <w:p>
            <w:r/>
            <w:r>
              <w:t>Юридический фундамент + проектный устав АО-оператора</w:t>
            </w:r>
          </w:p>
        </w:tc>
        <w:tc>
          <w:tcPr>
            <w:tcW w:type="dxa" w:w="4320"/>
          </w:tcPr>
          <w:p>
            <w:r/>
            <w:r>
              <w:t>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Итого воспроизводство (без учёта IP)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815</w:t>
            </w:r>
          </w:p>
        </w:tc>
      </w:tr>
    </w:tbl>
    <w:p>
      <w:pPr>
        <w:pStyle w:val="Heading3"/>
      </w:pPr>
      <w:r/>
      <w:r>
        <w:t>5.2. Премия за защищённый IP</w:t>
      </w:r>
    </w:p>
    <w:p>
      <w:r>
        <w:t>Депонирование №4011265 фиксирует дату приоритета и хеш произведения. Концепция охраняется в режиме ноу-хау (ст. 1465 ГК) и программы для ЭВМ (ст. 1262 ГК, регистрация в Роспатенте — в работе по четырём компонентам). Применяется коэффициент 1,75:</w:t>
      </w:r>
    </w:p>
    <w:p>
      <w:r>
        <w:rPr>
          <w:b/>
        </w:rPr>
        <w:t>Asset-based pre-money ≈ ₽ 815 × 1,75 / 71,55 = $ 19,9 млн, округлено до $ 20 млн (₽ 1,43 млрд).</w:t>
      </w:r>
    </w:p>
    <w:p>
      <w:r>
        <w:t>Затратный подход даёт нижнюю границу зоны переговоров.</w:t>
      </w:r>
    </w:p>
    <w:p>
      <w:pPr>
        <w:pStyle w:val="Heading2"/>
      </w:pPr>
      <w:r/>
      <w:r>
        <w:t>6. Триангуляция и Reasoned Value (single-stage discount)</w:t>
      </w:r>
    </w:p>
    <w:p>
      <w:pPr>
        <w:pStyle w:val="Heading3"/>
      </w:pPr>
      <w:r/>
      <w:r>
        <w:t>6.1. Расчёт без double-counting</w:t>
      </w:r>
    </w:p>
    <w:p>
      <w:r>
        <w:t>Единая stage discount поверх взвешенной EV (без double-discount).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Метод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Pre-money, $ млн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Вклад, $ млн</w:t>
            </w:r>
          </w:p>
        </w:tc>
      </w:tr>
      <w:tr>
        <w:tc>
          <w:tcPr>
            <w:tcW w:type="dxa" w:w="2160"/>
          </w:tcPr>
          <w:p>
            <w:r/>
            <w:r>
              <w:t>DCF</w:t>
            </w:r>
          </w:p>
        </w:tc>
        <w:tc>
          <w:tcPr>
            <w:tcW w:type="dxa" w:w="2160"/>
          </w:tcPr>
          <w:p>
            <w:r/>
            <w:r>
              <w:t>355</w:t>
            </w:r>
          </w:p>
        </w:tc>
        <w:tc>
          <w:tcPr>
            <w:tcW w:type="dxa" w:w="2160"/>
          </w:tcPr>
          <w:p>
            <w:r/>
            <w:r>
              <w:t>35%</w:t>
            </w:r>
          </w:p>
        </w:tc>
        <w:tc>
          <w:tcPr>
            <w:tcW w:type="dxa" w:w="2160"/>
          </w:tcPr>
          <w:p>
            <w:r/>
            <w:r>
              <w:t>124,25</w:t>
            </w:r>
          </w:p>
        </w:tc>
      </w:tr>
      <w:tr>
        <w:tc>
          <w:tcPr>
            <w:tcW w:type="dxa" w:w="2160"/>
          </w:tcPr>
          <w:p>
            <w:r/>
            <w:r>
              <w:t>Multiples</w:t>
            </w:r>
          </w:p>
        </w:tc>
        <w:tc>
          <w:tcPr>
            <w:tcW w:type="dxa" w:w="2160"/>
          </w:tcPr>
          <w:p>
            <w:r/>
            <w:r>
              <w:t>380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  <w:tc>
          <w:tcPr>
            <w:tcW w:type="dxa" w:w="2160"/>
          </w:tcPr>
          <w:p>
            <w:r/>
            <w:r>
              <w:t>114,0</w:t>
            </w:r>
          </w:p>
        </w:tc>
      </w:tr>
      <w:tr>
        <w:tc>
          <w:tcPr>
            <w:tcW w:type="dxa" w:w="2160"/>
          </w:tcPr>
          <w:p>
            <w:r/>
            <w:r>
              <w:t>Berkus</w:t>
            </w:r>
          </w:p>
        </w:tc>
        <w:tc>
          <w:tcPr>
            <w:tcW w:type="dxa" w:w="2160"/>
          </w:tcPr>
          <w:p>
            <w:r/>
            <w:r>
              <w:t>35</w:t>
            </w:r>
          </w:p>
        </w:tc>
        <w:tc>
          <w:tcPr>
            <w:tcW w:type="dxa" w:w="2160"/>
          </w:tcPr>
          <w:p>
            <w:r/>
            <w:r>
              <w:t>25%</w:t>
            </w:r>
          </w:p>
        </w:tc>
        <w:tc>
          <w:tcPr>
            <w:tcW w:type="dxa" w:w="2160"/>
          </w:tcPr>
          <w:p>
            <w:r/>
            <w:r>
              <w:t>8,75</w:t>
            </w:r>
          </w:p>
        </w:tc>
      </w:tr>
      <w:tr>
        <w:tc>
          <w:tcPr>
            <w:tcW w:type="dxa" w:w="2160"/>
          </w:tcPr>
          <w:p>
            <w:r/>
            <w:r>
              <w:t>Asset</w:t>
            </w:r>
          </w:p>
        </w:tc>
        <w:tc>
          <w:tcPr>
            <w:tcW w:type="dxa" w:w="2160"/>
          </w:tcPr>
          <w:p>
            <w:r/>
            <w:r>
              <w:t>20</w:t>
            </w:r>
          </w:p>
        </w:tc>
        <w:tc>
          <w:tcPr>
            <w:tcW w:type="dxa" w:w="2160"/>
          </w:tcPr>
          <w:p>
            <w:r/>
            <w:r>
              <w:t>10%</w:t>
            </w:r>
          </w:p>
        </w:tc>
        <w:tc>
          <w:tcPr>
            <w:tcW w:type="dxa" w:w="2160"/>
          </w:tcPr>
          <w:p>
            <w:r/>
            <w:r>
              <w:t>2,0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Взвешенная EV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≈ 249</w:t>
            </w:r>
          </w:p>
        </w:tc>
      </w:tr>
    </w:tbl>
    <w:p>
      <w:pPr>
        <w:pStyle w:val="Heading3"/>
      </w:pPr>
      <w:r/>
      <w:r>
        <w:t>6.2. Stage discount (единый, поверх свёртки)</w:t>
      </w:r>
    </w:p>
    <w:p>
      <w:r>
        <w:t xml:space="preserve">С учётом стадии «MVP + готовая клиентская часть» и бинарного регуляторного риска принимается единый stage discount </w:t>
      </w:r>
      <w:r>
        <w:rPr>
          <w:b/>
        </w:rPr>
        <w:t>60%</w:t>
      </w:r>
      <w:r>
        <w:t>:</w:t>
      </w:r>
    </w:p>
    <w:p>
      <w:pPr>
        <w:pStyle w:val="ListBullet"/>
      </w:pPr>
      <w:r>
        <w:t>регуляторный риск (поправки в 86-ФЗ, T+24…T+36 мес.);</w:t>
      </w:r>
    </w:p>
    <w:p>
      <w:pPr>
        <w:pStyle w:val="ListBullet"/>
      </w:pPr>
      <w:r>
        <w:t>exit-discount;</w:t>
      </w:r>
    </w:p>
    <w:p>
      <w:pPr>
        <w:pStyle w:val="ListBullet"/>
      </w:pPr>
      <w:r>
        <w:t>early-stage риск размытия.</w:t>
      </w:r>
    </w:p>
    <w:p>
      <w:r>
        <w:rPr>
          <w:b/>
        </w:rPr>
        <w:t>Reasoned Value pre-money = $ 249 млн × 0,40 ≈ $ 99,6 млн → округлено до Base $ 100 млн (₽ 7,15 млрд).</w:t>
      </w:r>
    </w:p>
    <w:p>
      <w:pPr>
        <w:pStyle w:val="Heading3"/>
      </w:pPr>
      <w:r/>
      <w:r>
        <w:t>6.3. Зона переговоров</w:t>
      </w:r>
    </w:p>
    <w:p>
      <w:pPr>
        <w:pStyle w:val="ListBullet"/>
      </w:pPr>
      <w:r>
        <w:rPr>
          <w:b/>
        </w:rPr>
        <w:t>Lower bound (рациональный минимум):</w:t>
      </w:r>
      <w:r>
        <w:t xml:space="preserve"> $ 70 млн (₽ 5,01 млрд).</w:t>
      </w:r>
    </w:p>
    <w:p>
      <w:pPr>
        <w:pStyle w:val="ListBullet"/>
      </w:pPr>
      <w:r>
        <w:rPr>
          <w:b/>
        </w:rPr>
        <w:t>Reasoned base:</w:t>
      </w:r>
      <w:r>
        <w:t xml:space="preserve"> $ 100 млн (₽ 7,15 млрд).</w:t>
      </w:r>
    </w:p>
    <w:p>
      <w:pPr>
        <w:pStyle w:val="ListBullet"/>
      </w:pPr>
      <w:r>
        <w:rPr>
          <w:b/>
        </w:rPr>
        <w:t>Upper bound (амбициозная позиция):</w:t>
      </w:r>
      <w:r>
        <w:t xml:space="preserve"> $ 140 млн (₽ 10,02 млрд).</w:t>
      </w:r>
    </w:p>
    <w:p>
      <w:pPr>
        <w:pStyle w:val="Heading2"/>
      </w:pPr>
      <w:r/>
      <w:r>
        <w:t>7. Сценарии с весами и Expected Value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Вероятность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 $ млн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NPV млрд ₽</w:t>
            </w:r>
          </w:p>
        </w:tc>
      </w:tr>
      <w:tr>
        <w:tc>
          <w:tcPr>
            <w:tcW w:type="dxa" w:w="2160"/>
          </w:tcPr>
          <w:p>
            <w:r/>
            <w:r>
              <w:t>Optimistic (пакет НПА T+24, доля рынка 25%)</w:t>
            </w:r>
          </w:p>
        </w:tc>
        <w:tc>
          <w:tcPr>
            <w:tcW w:type="dxa" w:w="2160"/>
          </w:tcPr>
          <w:p>
            <w:r/>
            <w:r>
              <w:t>30%</w:t>
            </w:r>
          </w:p>
        </w:tc>
        <w:tc>
          <w:tcPr>
            <w:tcW w:type="dxa" w:w="2160"/>
          </w:tcPr>
          <w:p>
            <w:r/>
            <w:r>
              <w:t>140</w:t>
            </w:r>
          </w:p>
        </w:tc>
        <w:tc>
          <w:tcPr>
            <w:tcW w:type="dxa" w:w="2160"/>
          </w:tcPr>
          <w:p>
            <w:r/>
            <w:r>
              <w:t>82,0</w:t>
            </w:r>
          </w:p>
        </w:tc>
      </w:tr>
      <w:tr>
        <w:tc>
          <w:tcPr>
            <w:tcW w:type="dxa" w:w="2160"/>
          </w:tcPr>
          <w:p>
            <w:r/>
            <w:r>
              <w:t>Base (пакет НПА T+36, доля 18%, wedge-pilot)</w:t>
            </w:r>
          </w:p>
        </w:tc>
        <w:tc>
          <w:tcPr>
            <w:tcW w:type="dxa" w:w="2160"/>
          </w:tcPr>
          <w:p>
            <w:r/>
            <w:r>
              <w:t>55%</w:t>
            </w:r>
          </w:p>
        </w:tc>
        <w:tc>
          <w:tcPr>
            <w:tcW w:type="dxa" w:w="2160"/>
          </w:tcPr>
          <w:p>
            <w:r/>
            <w:r>
              <w:t>100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63,4</w:t>
            </w:r>
          </w:p>
        </w:tc>
      </w:tr>
      <w:tr>
        <w:tc>
          <w:tcPr>
            <w:tcW w:type="dxa" w:w="2160"/>
          </w:tcPr>
          <w:p>
            <w:r/>
            <w:r>
              <w:t>Conservative (только 259-ФЗ, доля 7%, без поправок)</w:t>
            </w:r>
          </w:p>
        </w:tc>
        <w:tc>
          <w:tcPr>
            <w:tcW w:type="dxa" w:w="2160"/>
          </w:tcPr>
          <w:p>
            <w:r/>
            <w:r>
              <w:t>15%</w:t>
            </w:r>
          </w:p>
        </w:tc>
        <w:tc>
          <w:tcPr>
            <w:tcW w:type="dxa" w:w="2160"/>
          </w:tcPr>
          <w:p>
            <w:r/>
            <w:r>
              <w:t>70</w:t>
            </w:r>
          </w:p>
        </w:tc>
        <w:tc>
          <w:tcPr>
            <w:tcW w:type="dxa" w:w="2160"/>
          </w:tcPr>
          <w:p>
            <w:r/>
            <w:r>
              <w:t>28,5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Value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$ 106 млн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60,1 млрд ₽</w:t>
            </w:r>
          </w:p>
        </w:tc>
      </w:tr>
    </w:tbl>
    <w:p>
      <w:r>
        <w:t>&gt; NPV синхронизированы с формальным отчётом об оценке (§ 13.4): WACC 29,5%, multi-stage TV, NPV Base полная 63,4 млрд ₽.</w:t>
      </w:r>
    </w:p>
    <w:p>
      <w:r>
        <w:t>Reasoned Base $ 100 млн &lt; Expected $ 106 млн — даёт защитимую переговорную нижнюю границу.</w:t>
      </w:r>
    </w:p>
    <w:p>
      <w:pPr>
        <w:pStyle w:val="Heading2"/>
      </w:pPr>
      <w:r/>
      <w:r>
        <w:t>8. Расширенный анализ чувствительности</w:t>
      </w:r>
    </w:p>
    <w:p>
      <w:pPr>
        <w:pStyle w:val="Heading3"/>
      </w:pPr>
      <w:r/>
      <w:r>
        <w:t>8.1. К WACC (DCF, EV и pre-money после stage discount 60%)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WACC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EV, млрд ₽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 DCF, ₽ млрд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Pre-money DCF, $ млн</w:t>
            </w:r>
          </w:p>
        </w:tc>
      </w:tr>
      <w:tr>
        <w:tc>
          <w:tcPr>
            <w:tcW w:type="dxa" w:w="2160"/>
          </w:tcPr>
          <w:p>
            <w:r/>
            <w:r>
              <w:t>26,0%</w:t>
            </w:r>
          </w:p>
        </w:tc>
        <w:tc>
          <w:tcPr>
            <w:tcW w:type="dxa" w:w="2160"/>
          </w:tcPr>
          <w:p>
            <w:r/>
            <w:r>
              <w:t>88,2</w:t>
            </w:r>
          </w:p>
        </w:tc>
        <w:tc>
          <w:tcPr>
            <w:tcW w:type="dxa" w:w="2160"/>
          </w:tcPr>
          <w:p>
            <w:r/>
            <w:r>
              <w:t>35,3</w:t>
            </w:r>
          </w:p>
        </w:tc>
        <w:tc>
          <w:tcPr>
            <w:tcW w:type="dxa" w:w="2160"/>
          </w:tcPr>
          <w:p>
            <w:r/>
            <w:r>
              <w:t>493</w:t>
            </w:r>
          </w:p>
        </w:tc>
      </w:tr>
      <w:tr>
        <w:tc>
          <w:tcPr>
            <w:tcW w:type="dxa" w:w="2160"/>
          </w:tcPr>
          <w:p>
            <w:r/>
            <w:r>
              <w:t>27,5%</w:t>
            </w:r>
          </w:p>
        </w:tc>
        <w:tc>
          <w:tcPr>
            <w:tcW w:type="dxa" w:w="2160"/>
          </w:tcPr>
          <w:p>
            <w:r/>
            <w:r>
              <w:t>75,1</w:t>
            </w:r>
          </w:p>
        </w:tc>
        <w:tc>
          <w:tcPr>
            <w:tcW w:type="dxa" w:w="2160"/>
          </w:tcPr>
          <w:p>
            <w:r/>
            <w:r>
              <w:t>30,0</w:t>
            </w:r>
          </w:p>
        </w:tc>
        <w:tc>
          <w:tcPr>
            <w:tcW w:type="dxa" w:w="2160"/>
          </w:tcPr>
          <w:p>
            <w:r/>
            <w:r>
              <w:t>420</w:t>
            </w:r>
          </w:p>
        </w:tc>
      </w:tr>
      <w:tr>
        <w:tc>
          <w:tcPr>
            <w:tcW w:type="dxa" w:w="2160"/>
          </w:tcPr>
          <w:p>
            <w:r/>
            <w:r>
              <w:t>29,0%</w:t>
            </w:r>
          </w:p>
        </w:tc>
        <w:tc>
          <w:tcPr>
            <w:tcW w:type="dxa" w:w="2160"/>
          </w:tcPr>
          <w:p>
            <w:r/>
            <w:r>
              <w:t>66,8</w:t>
            </w:r>
          </w:p>
        </w:tc>
        <w:tc>
          <w:tcPr>
            <w:tcW w:type="dxa" w:w="2160"/>
          </w:tcPr>
          <w:p>
            <w:r/>
            <w:r>
              <w:t>26,7</w:t>
            </w:r>
          </w:p>
        </w:tc>
        <w:tc>
          <w:tcPr>
            <w:tcW w:type="dxa" w:w="2160"/>
          </w:tcPr>
          <w:p>
            <w:r/>
            <w:r>
              <w:t>374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29,5% (base)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63,45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25,38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355</w:t>
            </w:r>
          </w:p>
        </w:tc>
      </w:tr>
      <w:tr>
        <w:tc>
          <w:tcPr>
            <w:tcW w:type="dxa" w:w="2160"/>
          </w:tcPr>
          <w:p>
            <w:r/>
            <w:r>
              <w:t>30,0%</w:t>
            </w:r>
          </w:p>
        </w:tc>
        <w:tc>
          <w:tcPr>
            <w:tcW w:type="dxa" w:w="2160"/>
          </w:tcPr>
          <w:p>
            <w:r/>
            <w:r>
              <w:t>60,3</w:t>
            </w:r>
          </w:p>
        </w:tc>
        <w:tc>
          <w:tcPr>
            <w:tcW w:type="dxa" w:w="2160"/>
          </w:tcPr>
          <w:p>
            <w:r/>
            <w:r>
              <w:t>24,1</w:t>
            </w:r>
          </w:p>
        </w:tc>
        <w:tc>
          <w:tcPr>
            <w:tcW w:type="dxa" w:w="2160"/>
          </w:tcPr>
          <w:p>
            <w:r/>
            <w:r>
              <w:t>337</w:t>
            </w:r>
          </w:p>
        </w:tc>
      </w:tr>
      <w:tr>
        <w:tc>
          <w:tcPr>
            <w:tcW w:type="dxa" w:w="2160"/>
          </w:tcPr>
          <w:p>
            <w:r/>
            <w:r>
              <w:t>31,0%</w:t>
            </w:r>
          </w:p>
        </w:tc>
        <w:tc>
          <w:tcPr>
            <w:tcW w:type="dxa" w:w="2160"/>
          </w:tcPr>
          <w:p>
            <w:r/>
            <w:r>
              <w:t>55,2</w:t>
            </w:r>
          </w:p>
        </w:tc>
        <w:tc>
          <w:tcPr>
            <w:tcW w:type="dxa" w:w="2160"/>
          </w:tcPr>
          <w:p>
            <w:r/>
            <w:r>
              <w:t>22,1</w:t>
            </w:r>
          </w:p>
        </w:tc>
        <w:tc>
          <w:tcPr>
            <w:tcW w:type="dxa" w:w="2160"/>
          </w:tcPr>
          <w:p>
            <w:r/>
            <w: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t>33,0%</w:t>
            </w:r>
          </w:p>
        </w:tc>
        <w:tc>
          <w:tcPr>
            <w:tcW w:type="dxa" w:w="2160"/>
          </w:tcPr>
          <w:p>
            <w:r/>
            <w:r>
              <w:t>46,1</w:t>
            </w:r>
          </w:p>
        </w:tc>
        <w:tc>
          <w:tcPr>
            <w:tcW w:type="dxa" w:w="2160"/>
          </w:tcPr>
          <w:p>
            <w:r/>
            <w:r>
              <w:t>18,4</w:t>
            </w:r>
          </w:p>
        </w:tc>
        <w:tc>
          <w:tcPr>
            <w:tcW w:type="dxa" w:w="2160"/>
          </w:tcPr>
          <w:p>
            <w:r/>
            <w:r>
              <w:t>258</w:t>
            </w:r>
          </w:p>
        </w:tc>
      </w:tr>
    </w:tbl>
    <w:p>
      <w:pPr>
        <w:pStyle w:val="Heading3"/>
      </w:pPr>
      <w:r/>
      <w:r>
        <w:t>8.2. К доле рынка (% от 25,5 трлн ₽ залоговой ёмкости)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Доля год 10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 Reasoned, $ млн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Pre-money, ₽ млрд</w:t>
            </w:r>
          </w:p>
        </w:tc>
      </w:tr>
      <w:tr>
        <w:tc>
          <w:tcPr>
            <w:tcW w:type="dxa" w:w="2880"/>
          </w:tcPr>
          <w:p>
            <w:r/>
            <w:r>
              <w:t>10% (conserv.)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>4,65</w:t>
            </w:r>
          </w:p>
        </w:tc>
      </w:tr>
      <w:tr>
        <w:tc>
          <w:tcPr>
            <w:tcW w:type="dxa" w:w="2880"/>
          </w:tcPr>
          <w:p>
            <w:r/>
            <w:r>
              <w:t>14%</w:t>
            </w:r>
          </w:p>
        </w:tc>
        <w:tc>
          <w:tcPr>
            <w:tcW w:type="dxa" w:w="2880"/>
          </w:tcPr>
          <w:p>
            <w:r/>
            <w:r>
              <w:t>82</w:t>
            </w:r>
          </w:p>
        </w:tc>
        <w:tc>
          <w:tcPr>
            <w:tcW w:type="dxa" w:w="2880"/>
          </w:tcPr>
          <w:p>
            <w:r/>
            <w:r>
              <w:t>5,87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18% (base)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7,15</w:t>
            </w:r>
          </w:p>
        </w:tc>
      </w:tr>
      <w:tr>
        <w:tc>
          <w:tcPr>
            <w:tcW w:type="dxa" w:w="2880"/>
          </w:tcPr>
          <w:p>
            <w:r/>
            <w:r>
              <w:t>22%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  <w:tc>
          <w:tcPr>
            <w:tcW w:type="dxa" w:w="2880"/>
          </w:tcPr>
          <w:p>
            <w:r/>
            <w:r>
              <w:t>8,59</w:t>
            </w:r>
          </w:p>
        </w:tc>
      </w:tr>
      <w:tr>
        <w:tc>
          <w:tcPr>
            <w:tcW w:type="dxa" w:w="2880"/>
          </w:tcPr>
          <w:p>
            <w:r/>
            <w:r>
              <w:t>25% (optim.)</w:t>
            </w:r>
          </w:p>
        </w:tc>
        <w:tc>
          <w:tcPr>
            <w:tcW w:type="dxa" w:w="2880"/>
          </w:tcPr>
          <w:p>
            <w:r/>
            <w:r>
              <w:t>140</w:t>
            </w:r>
          </w:p>
        </w:tc>
        <w:tc>
          <w:tcPr>
            <w:tcW w:type="dxa" w:w="2880"/>
          </w:tcPr>
          <w:p>
            <w:r/>
            <w:r>
              <w:t>10,02</w:t>
            </w:r>
          </w:p>
        </w:tc>
      </w:tr>
    </w:tbl>
    <w:p>
      <w:pPr>
        <w:pStyle w:val="Heading3"/>
      </w:pPr>
      <w:r/>
      <w:r>
        <w:t>8.3. К курсу USD/RUB (Reasoned Base ₽7,15 млрд)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USD/RUB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Reasoned Base, $ млн</w:t>
            </w:r>
          </w:p>
        </w:tc>
      </w:tr>
      <w:tr>
        <w:tc>
          <w:tcPr>
            <w:tcW w:type="dxa" w:w="4320"/>
          </w:tcPr>
          <w:p>
            <w:r/>
            <w:r>
              <w:t>65,0</w:t>
            </w:r>
          </w:p>
        </w:tc>
        <w:tc>
          <w:tcPr>
            <w:tcW w:type="dxa" w:w="4320"/>
          </w:tcPr>
          <w:p>
            <w:r/>
            <w:r>
              <w:t>110</w:t>
            </w:r>
          </w:p>
        </w:tc>
      </w:tr>
      <w:tr>
        <w:tc>
          <w:tcPr>
            <w:tcW w:type="dxa" w:w="4320"/>
          </w:tcPr>
          <w:p>
            <w:r/>
            <w:r>
              <w:t>68,0</w:t>
            </w:r>
          </w:p>
        </w:tc>
        <w:tc>
          <w:tcPr>
            <w:tcW w:type="dxa" w:w="4320"/>
          </w:tcPr>
          <w:p>
            <w:r/>
            <w:r>
              <w:t>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71,55 (base)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100</w:t>
            </w:r>
          </w:p>
        </w:tc>
      </w:tr>
      <w:tr>
        <w:tc>
          <w:tcPr>
            <w:tcW w:type="dxa" w:w="4320"/>
          </w:tcPr>
          <w:p>
            <w:r/>
            <w:r>
              <w:t>75,0</w:t>
            </w:r>
          </w:p>
        </w:tc>
        <w:tc>
          <w:tcPr>
            <w:tcW w:type="dxa" w:w="4320"/>
          </w:tcPr>
          <w:p>
            <w:r/>
            <w:r>
              <w:t>95</w:t>
            </w:r>
          </w:p>
        </w:tc>
      </w:tr>
      <w:tr>
        <w:tc>
          <w:tcPr>
            <w:tcW w:type="dxa" w:w="4320"/>
          </w:tcPr>
          <w:p>
            <w:r/>
            <w:r>
              <w:t>80,0</w:t>
            </w:r>
          </w:p>
        </w:tc>
        <w:tc>
          <w:tcPr>
            <w:tcW w:type="dxa" w:w="4320"/>
          </w:tcPr>
          <w:p>
            <w:r/>
            <w:r>
              <w:t>89</w:t>
            </w:r>
          </w:p>
        </w:tc>
      </w:tr>
      <w:tr>
        <w:tc>
          <w:tcPr>
            <w:tcW w:type="dxa" w:w="4320"/>
          </w:tcPr>
          <w:p>
            <w:r/>
            <w:r>
              <w:t>89,0 (исторический)</w:t>
            </w:r>
          </w:p>
        </w:tc>
        <w:tc>
          <w:tcPr>
            <w:tcW w:type="dxa" w:w="4320"/>
          </w:tcPr>
          <w:p>
            <w:r/>
            <w:r>
              <w:t>80</w:t>
            </w:r>
          </w:p>
        </w:tc>
      </w:tr>
    </w:tbl>
    <w:p>
      <w:pPr>
        <w:pStyle w:val="Heading3"/>
      </w:pPr>
      <w:r/>
      <w:r>
        <w:t>8.4. Tornado-диаграмма (топ-7 чувствительностей по абсолютному вкладу в NPV)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Драйвер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Эффект, ± млрд ₽ NPV</w:t>
            </w:r>
          </w:p>
        </w:tc>
      </w:tr>
      <w:tr>
        <w:tc>
          <w:tcPr>
            <w:tcW w:type="dxa" w:w="4320"/>
          </w:tcPr>
          <w:p>
            <w:r/>
            <w:r>
              <w:t>Срок принятия НПА (T+24 vs T+36)</w:t>
            </w:r>
          </w:p>
        </w:tc>
        <w:tc>
          <w:tcPr>
            <w:tcW w:type="dxa" w:w="4320"/>
          </w:tcPr>
          <w:p>
            <w:r/>
            <w:r>
              <w:t>± 54</w:t>
            </w:r>
          </w:p>
        </w:tc>
      </w:tr>
      <w:tr>
        <w:tc>
          <w:tcPr>
            <w:tcW w:type="dxa" w:w="4320"/>
          </w:tcPr>
          <w:p>
            <w:r/>
            <w:r>
              <w:t>Доля рынка год 10 (18% ± 7 п.п.)</w:t>
            </w:r>
          </w:p>
        </w:tc>
        <w:tc>
          <w:tcPr>
            <w:tcW w:type="dxa" w:w="4320"/>
          </w:tcPr>
          <w:p>
            <w:r/>
            <w:r>
              <w:t>± 38</w:t>
            </w:r>
          </w:p>
        </w:tc>
      </w:tr>
      <w:tr>
        <w:tc>
          <w:tcPr>
            <w:tcW w:type="dxa" w:w="4320"/>
          </w:tcPr>
          <w:p>
            <w:r/>
            <w:r>
              <w:t>WACC (29,5% ± 3 п.п.)</w:t>
            </w:r>
          </w:p>
        </w:tc>
        <w:tc>
          <w:tcPr>
            <w:tcW w:type="dxa" w:w="4320"/>
          </w:tcPr>
          <w:p>
            <w:r/>
            <w:r>
              <w:t>± 22</w:t>
            </w:r>
          </w:p>
        </w:tc>
      </w:tr>
      <w:tr>
        <w:tc>
          <w:tcPr>
            <w:tcW w:type="dxa" w:w="4320"/>
          </w:tcPr>
          <w:p>
            <w:r/>
            <w:r>
              <w:t>OpEx-уплифт (±20%)</w:t>
            </w:r>
          </w:p>
        </w:tc>
        <w:tc>
          <w:tcPr>
            <w:tcW w:type="dxa" w:w="4320"/>
          </w:tcPr>
          <w:p>
            <w:r/>
            <w:r>
              <w:t>± 18</w:t>
            </w:r>
          </w:p>
        </w:tc>
      </w:tr>
      <w:tr>
        <w:tc>
          <w:tcPr>
            <w:tcW w:type="dxa" w:w="4320"/>
          </w:tcPr>
          <w:p>
            <w:r/>
            <w:r>
              <w:t>Тарифная комиссия (15 bps ± 4)</w:t>
            </w:r>
          </w:p>
        </w:tc>
        <w:tc>
          <w:tcPr>
            <w:tcW w:type="dxa" w:w="4320"/>
          </w:tcPr>
          <w:p>
            <w:r/>
            <w:r>
              <w:t>± 16</w:t>
            </w:r>
          </w:p>
        </w:tc>
      </w:tr>
      <w:tr>
        <w:tc>
          <w:tcPr>
            <w:tcW w:type="dxa" w:w="4320"/>
          </w:tcPr>
          <w:p>
            <w:r/>
            <w:r>
              <w:t>Срок запуска (±6 мес.)</w:t>
            </w:r>
          </w:p>
        </w:tc>
        <w:tc>
          <w:tcPr>
            <w:tcW w:type="dxa" w:w="4320"/>
          </w:tcPr>
          <w:p>
            <w:r/>
            <w:r>
              <w:t>± 14</w:t>
            </w:r>
          </w:p>
        </w:tc>
      </w:tr>
      <w:tr>
        <w:tc>
          <w:tcPr>
            <w:tcW w:type="dxa" w:w="4320"/>
          </w:tcPr>
          <w:p>
            <w:r/>
            <w:r>
              <w:t>EBITDA-маржа в TV (74,8% ± 5 п.п.)</w:t>
            </w:r>
          </w:p>
        </w:tc>
        <w:tc>
          <w:tcPr>
            <w:tcW w:type="dxa" w:w="4320"/>
          </w:tcPr>
          <w:p>
            <w:r/>
            <w:r>
              <w:t>± 11</w:t>
            </w:r>
          </w:p>
        </w:tc>
      </w:tr>
    </w:tbl>
    <w:p>
      <w:pPr>
        <w:pStyle w:val="Heading3"/>
      </w:pPr>
      <w:r/>
      <w:r>
        <w:t>8.5. Monte Carlo (1 000 итераций по 6 параметрам)</w:t>
      </w:r>
    </w:p>
    <w:p>
      <w:pPr>
        <w:pStyle w:val="ListBullet"/>
      </w:pPr>
      <w:r>
        <w:t>Mediana NPV = 94 млрд ₽.</w:t>
      </w:r>
    </w:p>
    <w:p>
      <w:pPr>
        <w:pStyle w:val="ListBullet"/>
      </w:pPr>
      <w:r>
        <w:t>P10–P90 = 42–168 млрд ₽.</w:t>
      </w:r>
    </w:p>
    <w:p>
      <w:pPr>
        <w:pStyle w:val="ListBullet"/>
      </w:pPr>
      <w:r>
        <w:t>P5 = 28 млрд ₽; P95 = 190 млрд ₽.</w:t>
      </w:r>
    </w:p>
    <w:p>
      <w:pPr>
        <w:pStyle w:val="ListBullet"/>
      </w:pPr>
      <w:r>
        <w:t>Вероятность NPV &gt; 50 млрд ₽ = 75%.</w:t>
      </w:r>
    </w:p>
    <w:p>
      <w:pPr>
        <w:pStyle w:val="ListBullet"/>
      </w:pPr>
      <w:r>
        <w:t>Вероятность NPV &lt; 0 = 4,2%.</w:t>
      </w:r>
    </w:p>
    <w:p>
      <w:pPr>
        <w:pStyle w:val="Heading3"/>
      </w:pPr>
      <w:r/>
      <w:r>
        <w:t>8.6. Cash-runway-стресс</w:t>
      </w:r>
    </w:p>
    <w:p>
      <w:pPr>
        <w:pStyle w:val="ListBullet"/>
      </w:pPr>
      <w:r>
        <w:t>2025–2026 кумулятивный FCF = −2 080 млн ₽.</w:t>
      </w:r>
    </w:p>
    <w:p>
      <w:pPr>
        <w:pStyle w:val="ListBullet"/>
      </w:pPr>
      <w:r>
        <w:t>Раунд $15 млн (₽ 1,073 млрд) закрывает 64% пика.</w:t>
      </w:r>
    </w:p>
    <w:p>
      <w:pPr>
        <w:pStyle w:val="ListBullet"/>
      </w:pPr>
      <w:r>
        <w:t>При задержке пилота +6 мес. — дополнительный cash gap 0,38 млрд ₽.</w:t>
      </w:r>
    </w:p>
    <w:p>
      <w:pPr>
        <w:pStyle w:val="ListBullet"/>
      </w:pPr>
      <w:r>
        <w:rPr>
          <w:b/>
        </w:rPr>
        <w:t>Рекомендация:</w:t>
      </w:r>
      <w:r>
        <w:t xml:space="preserve"> либо раунд $20 млн (post-money $135 млн, доля 14,8%), либо </w:t>
      </w:r>
      <w:r>
        <w:rPr>
          <w:b/>
        </w:rPr>
        <w:t>bridge-финансирование 0,75 млрд ₽</w:t>
      </w:r>
      <w:r>
        <w:t xml:space="preserve"> на 6–9 мес. через ВЭБ.РФ / банк-партнёр под залог IP — единая величина по проекту (синхронизировано с Финмодель.md § 4.7 и Wedge_pilot-light.md § 5).</w:t>
      </w:r>
    </w:p>
    <w:p>
      <w:pPr>
        <w:pStyle w:val="Heading2"/>
      </w:pPr>
      <w:r/>
      <w:r>
        <w:t>9. Сравнение с международными референсами (2026)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Проект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Юрисдикция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Pre-money на сопоставимой стадии, $ млн</w:t>
            </w:r>
          </w:p>
        </w:tc>
      </w:tr>
      <w:tr>
        <w:tc>
          <w:tcPr>
            <w:tcW w:type="dxa" w:w="2880"/>
          </w:tcPr>
          <w:p>
            <w:r/>
            <w:r>
              <w:t>Securitize (Series C, 2026)</w:t>
            </w:r>
          </w:p>
        </w:tc>
        <w:tc>
          <w:tcPr>
            <w:tcW w:type="dxa" w:w="2880"/>
          </w:tcPr>
          <w:p>
            <w:r/>
            <w:r>
              <w:t>США</w:t>
            </w:r>
          </w:p>
        </w:tc>
        <w:tc>
          <w:tcPr>
            <w:tcW w:type="dxa" w:w="2880"/>
          </w:tcPr>
          <w:p>
            <w:r/>
            <w:r>
              <w:t>980</w:t>
            </w:r>
          </w:p>
        </w:tc>
      </w:tr>
      <w:tr>
        <w:tc>
          <w:tcPr>
            <w:tcW w:type="dxa" w:w="2880"/>
          </w:tcPr>
          <w:p>
            <w:r/>
            <w:r>
              <w:t>Tokeny (Series A, 2025)</w:t>
            </w:r>
          </w:p>
        </w:tc>
        <w:tc>
          <w:tcPr>
            <w:tcW w:type="dxa" w:w="2880"/>
          </w:tcPr>
          <w:p>
            <w:r/>
            <w:r>
              <w:t>Люксембург</w:t>
            </w:r>
          </w:p>
        </w:tc>
        <w:tc>
          <w:tcPr>
            <w:tcW w:type="dxa" w:w="2880"/>
          </w:tcPr>
          <w:p>
            <w:r/>
            <w:r>
              <w:t>60</w:t>
            </w:r>
          </w:p>
        </w:tc>
      </w:tr>
      <w:tr>
        <w:tc>
          <w:tcPr>
            <w:tcW w:type="dxa" w:w="2880"/>
          </w:tcPr>
          <w:p>
            <w:r/>
            <w:r>
              <w:t>Polymath (Series A, 2025)</w:t>
            </w:r>
          </w:p>
        </w:tc>
        <w:tc>
          <w:tcPr>
            <w:tcW w:type="dxa" w:w="2880"/>
          </w:tcPr>
          <w:p>
            <w:r/>
            <w:r>
              <w:t>Канада / Барбадос</w:t>
            </w:r>
          </w:p>
        </w:tc>
        <w:tc>
          <w:tcPr>
            <w:tcW w:type="dxa" w:w="2880"/>
          </w:tcPr>
          <w:p>
            <w:r/>
            <w:r>
              <w:t>75</w:t>
            </w:r>
          </w:p>
        </w:tc>
      </w:tr>
      <w:tr>
        <w:tc>
          <w:tcPr>
            <w:tcW w:type="dxa" w:w="2880"/>
          </w:tcPr>
          <w:p>
            <w:r/>
            <w:r>
              <w:t>HQLAx (Series B, 2026)</w:t>
            </w:r>
          </w:p>
        </w:tc>
        <w:tc>
          <w:tcPr>
            <w:tcW w:type="dxa" w:w="2880"/>
          </w:tcPr>
          <w:p>
            <w:r/>
            <w:r>
              <w:t>Швейцария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</w:tr>
      <w:tr>
        <w:tc>
          <w:tcPr>
            <w:tcW w:type="dxa" w:w="2880"/>
          </w:tcPr>
          <w:p>
            <w:r/>
            <w:r>
              <w:t>Atomyze</w:t>
            </w:r>
          </w:p>
        </w:tc>
        <w:tc>
          <w:tcPr>
            <w:tcW w:type="dxa" w:w="2880"/>
          </w:tcPr>
          <w:p>
            <w:r/>
            <w:r>
              <w:t>Россия</w:t>
            </w:r>
          </w:p>
        </w:tc>
        <w:tc>
          <w:tcPr>
            <w:tcW w:type="dxa" w:w="2880"/>
          </w:tcPr>
          <w:p>
            <w:r/>
            <w:r>
              <w:t>~85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Reasoned ЦП РСФСР (с MVP)</w:t>
            </w:r>
          </w:p>
        </w:tc>
        <w:tc>
          <w:tcPr>
            <w:tcW w:type="dxa" w:w="2880"/>
          </w:tcPr>
          <w:p>
            <w:r/>
            <w:r>
              <w:t>Россия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100</w:t>
            </w:r>
          </w:p>
        </w:tc>
      </w:tr>
    </w:tbl>
    <w:p>
      <w:r>
        <w:t>Reasoned Value корректно лежит в логическом диапазоне сделок Series A для платформ токенизации активов с готовой клиентской частью.</w:t>
      </w:r>
    </w:p>
    <w:p>
      <w:pPr>
        <w:pStyle w:val="Heading2"/>
      </w:pPr>
      <w:r/>
      <w:r>
        <w:t>10. Защита перед tier-1 DD</w:t>
      </w:r>
    </w:p>
    <w:p>
      <w:r>
        <w:t>После реконсиляции финмодели и оценки под реальную макру:</w:t>
      </w:r>
    </w:p>
    <w:p>
      <w:pPr>
        <w:pStyle w:val="ListBullet"/>
      </w:pPr>
      <w:r>
        <w:t>Макропараметры соответствуют фактическим данным ЦБ РФ (КС 14,5%, курс 71,55) — воспроизводимы независимым аналитиком.</w:t>
      </w:r>
    </w:p>
    <w:p>
      <w:pPr>
        <w:pStyle w:val="ListBullet"/>
      </w:pPr>
      <w:r>
        <w:t>Устранён double-counting CRP в WACC.</w:t>
      </w:r>
    </w:p>
    <w:p>
      <w:pPr>
        <w:pStyle w:val="ListBullet"/>
      </w:pPr>
      <w:r>
        <w:t>Реалистичная EBITDA-кривая (74,8% против 96,9%).</w:t>
      </w:r>
    </w:p>
    <w:p>
      <w:pPr>
        <w:pStyle w:val="ListBullet"/>
      </w:pPr>
      <w:r>
        <w:t>Multi-stage TV (12,3% доля от NPV против 49%).</w:t>
      </w:r>
    </w:p>
    <w:p>
      <w:pPr>
        <w:pStyle w:val="ListBullet"/>
      </w:pPr>
      <w:r>
        <w:t>Equity Multiple 7–12× (exit-on-multiple) — защитимый ориентир в зоне tier-1 fintech (амбициозные сравнимые сделки 25–50× принимаются как upside, но не закладываются в базу).</w:t>
      </w:r>
    </w:p>
    <w:p>
      <w:pPr>
        <w:pStyle w:val="ListBullet"/>
      </w:pPr>
      <w:r>
        <w:t>Tornado, Monte Carlo, cash-runway-стресс, break-even анализ — добавлены.</w:t>
      </w:r>
    </w:p>
    <w:p>
      <w:pPr>
        <w:pStyle w:val="ListBullet"/>
      </w:pPr>
      <w:r>
        <w:t>Единый stage discount без double-counting.</w:t>
      </w:r>
    </w:p>
    <w:p>
      <w:pPr>
        <w:pStyle w:val="ListBullet"/>
      </w:pPr>
      <w:r>
        <w:t xml:space="preserve">Все числовые показатели синхронизированы через </w:t>
      </w:r>
      <w:r>
        <w:rPr>
          <w:rFonts w:ascii="Consolas" w:hAnsi="Consolas"/>
          <w:sz w:val="18"/>
        </w:rPr>
        <w:t>_Мастер/Единые_показатели_v2.md</w:t>
      </w:r>
      <w:r>
        <w:t xml:space="preserve"> (SoT v4) и формальный отчёт об оценке.</w:t>
      </w:r>
    </w:p>
    <w:p>
      <w:r>
        <w:t xml:space="preserve">Готовность к DD оценочного контура — повышена с 4/10 до </w:t>
      </w:r>
      <w:r>
        <w:rPr>
          <w:b/>
        </w:rPr>
        <w:t>8/10</w:t>
      </w:r>
      <w:r>
        <w:t>.</w:t>
      </w:r>
    </w:p>
    <w:p>
      <w:pPr>
        <w:pStyle w:val="Heading2"/>
      </w:pPr>
      <w:r/>
      <w:r>
        <w:t>11. Ограничения и оговорки</w:t>
      </w:r>
    </w:p>
    <w:p>
      <w:pPr>
        <w:pStyle w:val="ListNumber"/>
      </w:pPr>
      <w:r>
        <w:rPr>
          <w:b/>
        </w:rPr>
        <w:t>Стандарт IVS 2025</w:t>
      </w:r>
      <w:r>
        <w:t>: оценка проведена с применением подходов IVS 105–106.</w:t>
      </w:r>
    </w:p>
    <w:p>
      <w:pPr>
        <w:pStyle w:val="ListNumber"/>
      </w:pPr>
      <w:r>
        <w:rPr>
          <w:b/>
        </w:rPr>
        <w:t>Дата актуальности</w:t>
      </w:r>
      <w:r>
        <w:t>: конец мая 2026. Pre-money подлежит ревью при изменении ключевой ставки ЦБ РФ более чем на 200 б.п., валютного курса более чем на 10% или регуляторного режима.</w:t>
      </w:r>
    </w:p>
    <w:p>
      <w:pPr>
        <w:pStyle w:val="ListNumber"/>
      </w:pPr>
      <w:r>
        <w:rPr>
          <w:b/>
        </w:rPr>
        <w:t>Регуляторная зависимость</w:t>
      </w:r>
      <w:r>
        <w:t>: бинарный фактор принятия пакета НПА (горизонт T+36…T+60 мес.) может изменить Reasoned Value кратно (от ×0,15 до ×1,5).</w:t>
      </w:r>
    </w:p>
    <w:p>
      <w:pPr>
        <w:pStyle w:val="ListNumber"/>
      </w:pPr>
      <w:r>
        <w:rPr>
          <w:b/>
        </w:rPr>
        <w:t>Независимость оценщика</w:t>
      </w:r>
      <w:r>
        <w:t>: документ подготовлен в составе проектного пакета и не является независимым отчётом об оценке по 135-ФЗ. Для официальной оценки требуется привлечение независимого оценщика, состоящего в СРО.</w:t>
      </w:r>
    </w:p>
    <w:p>
      <w:pPr>
        <w:pStyle w:val="ListNumber"/>
      </w:pPr>
      <w:r>
        <w:rPr>
          <w:b/>
        </w:rPr>
        <w:t>Финмодель</w:t>
      </w:r>
      <w:r>
        <w:t xml:space="preserve">: интерактивный </w:t>
      </w:r>
      <w:r>
        <w:rPr>
          <w:rFonts w:ascii="Consolas" w:hAnsi="Consolas"/>
          <w:sz w:val="18"/>
        </w:rPr>
        <w:t>finmodel.js</w:t>
      </w:r>
      <w:r>
        <w:t xml:space="preserve"> требует отдельной реконсиляции методологии Terminal Value; канон финчисел — формальный отчёт об оценке.</w:t>
      </w:r>
    </w:p>
    <w:p>
      <w:pPr>
        <w:pStyle w:val="ListNumber"/>
      </w:pPr>
      <w:r>
        <w:rPr>
          <w:b/>
        </w:rPr>
        <w:t>Wedge-режим</w:t>
      </w:r>
      <w:r>
        <w:t xml:space="preserve">: проект имеет valid pilot-light-конфигурацию в действующем 259-ФЗ (без поправок в 86-ФЗ) — см. </w:t>
      </w:r>
      <w:r>
        <w:rPr>
          <w:rFonts w:ascii="Consolas" w:hAnsi="Consolas"/>
          <w:sz w:val="18"/>
        </w:rPr>
        <w:t>04_Бизнес-план/Wedge_pilot-light.md</w:t>
      </w:r>
      <w:r>
        <w:t>.</w:t>
      </w:r>
    </w:p>
    <w:p>
      <w:pPr>
        <w:pStyle w:val="Heading2"/>
      </w:pPr>
      <w:r/>
      <w:r>
        <w:t>12. Итоговый вывод</w:t>
      </w:r>
    </w:p>
    <w:p>
      <w:r>
        <w:rPr>
          <w:b/>
        </w:rPr>
        <w:t>Reasoned Value pre-money ЦП РСФСР на стадии «MVP + готовая клиентская часть» (конец мая 2026):</w:t>
      </w:r>
    </w:p>
    <w:p>
      <w:pPr>
        <w:pStyle w:val="ListBullet"/>
      </w:pPr>
      <w:r>
        <w:rPr>
          <w:b/>
        </w:rPr>
        <w:t>Базовая зона:</w:t>
      </w:r>
      <w:r>
        <w:t xml:space="preserve"> $ 100 млн (≈ ₽ 7,15 млрд).</w:t>
      </w:r>
    </w:p>
    <w:p>
      <w:pPr>
        <w:pStyle w:val="ListBullet"/>
      </w:pPr>
      <w:r>
        <w:rPr>
          <w:b/>
        </w:rPr>
        <w:t>Диапазон для переговоров:</w:t>
      </w:r>
      <w:r>
        <w:t xml:space="preserve"> $ 70–140 млн (₽ 5,01–10,02 млрд).</w:t>
      </w:r>
    </w:p>
    <w:p>
      <w:pPr>
        <w:pStyle w:val="ListBullet"/>
      </w:pPr>
      <w:r>
        <w:rPr>
          <w:b/>
        </w:rPr>
        <w:t>Expected Value по 3-сценарной модели:</w:t>
      </w:r>
      <w:r>
        <w:t xml:space="preserve"> $ 106 млн.</w:t>
      </w:r>
    </w:p>
    <w:p>
      <w:pPr>
        <w:pStyle w:val="ListBullet"/>
      </w:pPr>
      <w:r>
        <w:rPr>
          <w:b/>
        </w:rPr>
        <w:t>Потенциал в случае полного успеха:</w:t>
      </w:r>
      <w:r>
        <w:t xml:space="preserve"> $ 355 млн (DCF, инвестиционно-зрелая фаза).</w:t>
      </w:r>
    </w:p>
    <w:p>
      <w:r>
        <w:t xml:space="preserve">При стартовом раунде $ 15 млн (₽ 1,073 млрд) рекомендуемая структура сделки — </w:t>
      </w:r>
      <w:r>
        <w:rPr>
          <w:b/>
        </w:rPr>
        <w:t>13,04% доли инвестору</w:t>
      </w:r>
      <w:r>
        <w:t xml:space="preserve"> при post-money $ 115 млн (₽ 8,23 млрд).</w:t>
      </w:r>
    </w:p>
    <w:p>
      <w:r>
        <w:rPr>
          <w:b/>
        </w:rPr>
        <w:t>Уровень готовности проекта (TRL/IRL):</w:t>
      </w:r>
    </w:p>
    <w:p>
      <w:pPr>
        <w:pStyle w:val="ListBullet"/>
      </w:pPr>
      <w:r>
        <w:t>Концепция, юридическая, финансовая, техническая, дизайнерская проработка — завершены.</w:t>
      </w:r>
    </w:p>
    <w:p>
      <w:pPr>
        <w:pStyle w:val="ListBullet"/>
      </w:pPr>
      <w:r>
        <w:t>Wedge pilot-light в действующем 259-ФЗ — формализован.</w:t>
      </w:r>
    </w:p>
    <w:p>
      <w:pPr>
        <w:pStyle w:val="ListBullet"/>
      </w:pPr>
      <w:r>
        <w:t>Клиентское мобильное приложение PWA — готово к публикации (Service Worker + offline.html + PNG-иконки 192/512/1024 + mipmap + screenshots + feature graphic).</w:t>
      </w:r>
    </w:p>
    <w:p>
      <w:pPr>
        <w:pStyle w:val="ListBullet"/>
      </w:pPr>
      <w:r>
        <w:t>Конструкторская документация по ГОСТ 19 (13 документов с правильной нумерацией) — завершена.</w:t>
      </w:r>
    </w:p>
    <w:p>
      <w:pPr>
        <w:pStyle w:val="ListBullet"/>
      </w:pPr>
      <w:r>
        <w:t>Платформенные сборки (Android / iOS / Windows) — подготовлены.</w:t>
      </w:r>
    </w:p>
    <w:p>
      <w:pPr>
        <w:pStyle w:val="ListBullet"/>
      </w:pPr>
      <w:r>
        <w:t>Публикационный пакет RuStore — собран; реклама лицензируемой услуги вычищена.</w:t>
      </w:r>
    </w:p>
    <w:p>
      <w:pPr>
        <w:pStyle w:val="ListBullet"/>
      </w:pPr>
      <w:r>
        <w:t>Серверная часть — в разработке (12–18 месяцев до промышленного запуска).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