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Международная оценка проекта ЦП РСФСР</w:t>
      </w:r>
    </w:p>
    <w:p>
      <w:pPr>
        <w:jc w:val="both"/>
      </w:pPr>
      <w:r>
        <w:rPr>
          <w:b/>
        </w:rPr>
        <w:t>Оцениваемый объект:</w:t>
      </w:r>
      <w:r>
        <w:t xml:space="preserve"> Цифровая Платформа «Российский Сервис Финансирования Социального Развития» — информационная система выпуска целевых ЦФА (оператор по 779-П) с горизонтным контуром целевого фондирования через инфраструктурный канал ВЭБ.РФ / Казначейства с участием ЦБ как надзорного регулятора. Включает полностью разработанное мобильное приложение, конструкторскую документацию по ГОСТ 19, платформенные сборки для Android / iOS / Windows и публикационный пакет RuStore. </w:t>
      </w:r>
      <w:r>
        <w:rPr>
          <w:b/>
        </w:rPr>
        <w:t>Правообладатель ноу-хау:</w:t>
      </w:r>
      <w:r>
        <w:t xml:space="preserve"> Кагиров Абдул-Хаким Ахмадович. Свидетельство о депонировании №4011265 от 19.12.2024 — фиксация даты приоритета и хеша произведения; режим охраны — ноу-хау (ст. 1465 ГК) + программа для ЭВМ (ст. 1262 ГК, регистрация в Роспатенте — в работе). </w:t>
      </w:r>
      <w:r>
        <w:rPr>
          <w:b/>
        </w:rPr>
        <w:t>Дата оценки:</w:t>
      </w:r>
      <w:r>
        <w:t xml:space="preserve"> конец мая 2026 (для целей переговоров — pre-money, на стадии «MVP + готовая клиентская часть»). </w:t>
      </w:r>
      <w:r>
        <w:rPr>
          <w:b/>
        </w:rPr>
        <w:t>Стандарты оценки:</w:t>
      </w:r>
      <w:r>
        <w:t xml:space="preserve"> IVS 2025 (International Valuation Standards), ASA Business Valuation Standards, IFRS 13 (Fair Value Measurement), 135-ФЗ (для целей применения в РФ). </w:t>
      </w:r>
      <w:r>
        <w:rPr>
          <w:b/>
        </w:rPr>
        <w:t>Подход:</w:t>
      </w:r>
      <w:r>
        <w:t xml:space="preserve"> триангуляция четырёх независимых методов с весовой свёрткой и единым (одностадийным) дисконтом. </w:t>
      </w:r>
      <w:r>
        <w:rPr>
          <w:b/>
        </w:rPr>
        <w:t>Источник параметров рынка:</w:t>
      </w:r>
      <w:r>
        <w:t xml:space="preserve"> </w:t>
      </w:r>
      <w:r>
        <w:rPr>
          <w:rFonts w:ascii="Consolas" w:hAnsi="Consolas"/>
          <w:sz w:val="18"/>
        </w:rPr>
        <w:t>_Мастер/Единые_показатели_v2.md</w:t>
      </w:r>
      <w:r>
        <w:t xml:space="preserve"> (свод показателей v5: КС ЦБ 14,0%, FX 71,55 ₽/$, ERP РФ 8,13%) — единый источник истины для всех документов проекта. Формальный отчёт об оценке — </w:t>
      </w:r>
      <w:r>
        <w:rPr>
          <w:rFonts w:ascii="Consolas" w:hAnsi="Consolas"/>
          <w:sz w:val="18"/>
        </w:rPr>
        <w:t>DPFSR.RU_PRICE/Отчёт_об_оценке_ЦПФСР_2026-05-26</w:t>
      </w:r>
      <w:r>
        <w:t>; обе редакции собраны из одного расчётного движка.</w:t>
      </w:r>
    </w:p>
    <w:p>
      <w:pPr>
        <w:pStyle w:val="Heading2"/>
      </w:pPr>
      <w:r>
        <w:t>1. Резюме оценки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Метод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Pre-money, USD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Pre-money, RUB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Вес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DCF (доходный, терминальная стоимость по Гордону)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$ 352 млн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₽ 25,19 млрд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35%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Comparable Multiples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$ 380 млн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₽ 27,2 млрд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30%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Berkus / Risk-Adjusted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$ 35 млн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₽ 2,5 млрд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25%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Asset / Replacement-Cost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$ 20 млн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₽ 1,43 млрд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10%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Расчётная стоимость входа (скидка за стадию применена один раз)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$ 164–301 млн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₽ 11,74–21,56 млрд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—</w:t>
            </w:r>
          </w:p>
        </w:tc>
      </w:tr>
    </w:tbl>
    <w:p/>
    <w:p>
      <w:pPr>
        <w:ind w:left="360"/>
      </w:pPr>
      <w:r>
        <w:rPr>
          <w:b/>
          <w:i/>
          <w:color w:val="444444"/>
        </w:rPr>
        <w:t>Изменения относительно прошлой редакции (пересчёт модели, свод показателей v5, 07.09.2026):</w:t>
      </w:r>
      <w:r>
        <w:rPr>
          <w:i/>
          <w:color w:val="444444"/>
        </w:rPr>
        <w:t xml:space="preserve"> - Финансовая модель пересчитана заново; горизонт сдвинут на 2027–2036 годы. - Итог выручки приведён к сумме строк; транзитные услуги оценщиков и страховщиков выведены из выручки. - Ставка налога на прибыль приведена к действующей — 25% (176-ФЗ от 12.07.2024). - Скидка за стадию 60% применяется один раз; в прежней редакции она применялась дважды, из-за чего стоимость входа была занижена примерно вдвое. - Доходный подход даёт $352 млн (стоимость бизнеса 62,97 млрд ₽ × 0,40, при курсе 71,55). - Расчётный диапазон стоимости входа — $164–301 млн (₽11,74–21,56 млрд) по сценариям.</w:t>
      </w:r>
    </w:p>
    <w:p>
      <w:pPr>
        <w:jc w:val="both"/>
      </w:pPr>
      <w:r>
        <w:rPr>
          <w:b/>
        </w:rPr>
        <w:t>Расчётная позиция (базовый сценарий):</w:t>
      </w:r>
    </w:p>
    <w:p>
      <w:pPr>
        <w:pStyle w:val="ListBullet"/>
      </w:pPr>
      <w:r>
        <w:t xml:space="preserve">Pre-money — </w:t>
      </w:r>
      <w:r>
        <w:rPr>
          <w:b/>
        </w:rPr>
        <w:t>$ 248 млн (₽ 17,74 млрд)</w:t>
      </w:r>
      <w:r>
        <w:t>.</w:t>
      </w:r>
    </w:p>
    <w:p>
      <w:pPr>
        <w:pStyle w:val="ListBullet"/>
      </w:pPr>
      <w:r>
        <w:t xml:space="preserve">Post-money — </w:t>
      </w:r>
      <w:r>
        <w:rPr>
          <w:b/>
        </w:rPr>
        <w:t>$273 млн (₽ 19,54 млрд)</w:t>
      </w:r>
      <w:r>
        <w:t xml:space="preserve"> при стартовом раунде </w:t>
      </w:r>
      <w:r>
        <w:rPr>
          <w:b/>
        </w:rPr>
        <w:t>$25 млн (₽ 1,8 млрд)</w:t>
      </w:r>
      <w:r>
        <w:t>.</w:t>
      </w:r>
    </w:p>
    <w:p>
      <w:pPr>
        <w:pStyle w:val="ListBullet"/>
      </w:pPr>
      <w:r>
        <w:t xml:space="preserve">Доля инвестора — </w:t>
      </w:r>
      <w:r>
        <w:rPr>
          <w:b/>
        </w:rPr>
        <w:t>9,21%</w:t>
      </w:r>
      <w:r>
        <w:t>.</w:t>
      </w:r>
    </w:p>
    <w:p>
      <w:pPr>
        <w:ind w:left="360"/>
      </w:pPr>
      <w:r>
        <w:rPr>
          <w:i/>
          <w:color w:val="444444"/>
        </w:rPr>
        <w:t>Разброс между подходами оценки двенадцатикратный: подходы для ранней стадии дают $20–35 млн, доходный — $352 млн. Расчётная величина — верхняя граница обоснуемого, а не рыночная цена. Решение о переговорной цене принимает собственник проекта.</w:t>
      </w:r>
    </w:p>
    <w:p>
      <w:pPr>
        <w:pStyle w:val="ListBullet"/>
      </w:pPr>
      <w:r>
        <w:t xml:space="preserve">FX зафиксирован на конец мая 2026: </w:t>
      </w:r>
      <w:r>
        <w:rPr>
          <w:b/>
        </w:rPr>
        <w:t>71,55 ₽/$</w:t>
      </w:r>
      <w:r>
        <w:t>.</w:t>
      </w:r>
    </w:p>
    <w:p>
      <w:pPr>
        <w:pStyle w:val="Heading2"/>
      </w:pPr>
      <w:r>
        <w:t>2. Методология DCF (доходный подход)</w:t>
      </w:r>
    </w:p>
    <w:p>
      <w:pPr>
        <w:pStyle w:val="Heading3"/>
      </w:pPr>
      <w:r>
        <w:t>2.1. Источник денежных потоков</w:t>
      </w:r>
    </w:p>
    <w:p>
      <w:pPr>
        <w:jc w:val="both"/>
      </w:pPr>
      <w:r>
        <w:t>Денежные потоки от операций платформы за горизонт 2027–2036 — из пересчитанной финансовой модели (</w:t>
      </w:r>
      <w:r>
        <w:rPr>
          <w:rFonts w:ascii="Consolas" w:hAnsi="Consolas"/>
          <w:sz w:val="18"/>
        </w:rPr>
        <w:t>03_Финансовая_модель/Модель</w:t>
      </w:r>
      <w:r>
        <w:t>). Потоки номинированы в рублях.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Год</w:t>
            </w:r>
          </w:p>
        </w:tc>
        <w:tc>
          <w:tcPr>
            <w:tcW w:type="dxa" w:w="1234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Выручка, млрд ₽</w:t>
            </w:r>
          </w:p>
        </w:tc>
        <w:tc>
          <w:tcPr>
            <w:tcW w:type="dxa" w:w="1234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Расходы, млрд ₽</w:t>
            </w:r>
          </w:p>
        </w:tc>
        <w:tc>
          <w:tcPr>
            <w:tcW w:type="dxa" w:w="1234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EBITDA, млрд ₽</w:t>
            </w:r>
          </w:p>
        </w:tc>
        <w:tc>
          <w:tcPr>
            <w:tcW w:type="dxa" w:w="1234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Маржа</w:t>
            </w:r>
          </w:p>
        </w:tc>
        <w:tc>
          <w:tcPr>
            <w:tcW w:type="dxa" w:w="1234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CapEx, млрд ₽</w:t>
            </w:r>
          </w:p>
        </w:tc>
        <w:tc>
          <w:tcPr>
            <w:tcW w:type="dxa" w:w="1234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Поток, млрд ₽</w:t>
            </w:r>
          </w:p>
        </w:tc>
      </w:tr>
      <w:tr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2027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0,00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0,72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−0,72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—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0,30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−1,02</w:t>
            </w:r>
          </w:p>
        </w:tc>
      </w:tr>
      <w:tr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2028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1,31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1,50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−0,19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—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0,42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−0,68</w:t>
            </w:r>
          </w:p>
        </w:tc>
      </w:tr>
      <w:tr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2029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6,52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2,96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3,56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54,6%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0,40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2,31</w:t>
            </w:r>
          </w:p>
        </w:tc>
      </w:tr>
      <w:tr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2030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17,79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5,78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12,01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67,5%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0,55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7,95</w:t>
            </w:r>
          </w:p>
        </w:tc>
      </w:tr>
      <w:tr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2031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39,02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10,83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28,19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72,3%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1,80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18,41</w:t>
            </w:r>
          </w:p>
        </w:tc>
      </w:tr>
      <w:tr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2032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56,86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15,09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41,77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73,5%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2,40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28,24</w:t>
            </w:r>
          </w:p>
        </w:tc>
      </w:tr>
      <w:tr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2033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76,69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19,83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56,86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74,1%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1,60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40,32</w:t>
            </w:r>
          </w:p>
        </w:tc>
      </w:tr>
      <w:tr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2034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98,35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25,01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73,34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74,6%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1,80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52,44</w:t>
            </w:r>
          </w:p>
        </w:tc>
      </w:tr>
      <w:tr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2035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120,87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30,33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90,55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74,9%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2,30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64,87</w:t>
            </w:r>
          </w:p>
        </w:tc>
      </w:tr>
      <w:tr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2036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142,61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35,50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107,11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75,1%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2,00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sz w:val="17"/>
              </w:rPr>
              <w:t>77,69</w:t>
            </w:r>
          </w:p>
        </w:tc>
      </w:tr>
      <w:tr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Сумма потока 2027–2036</w:t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</w:p>
        </w:tc>
        <w:tc>
          <w:tcPr>
            <w:tcW w:type="dxa" w:w="1234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290,54</w:t>
            </w:r>
          </w:p>
        </w:tc>
      </w:tr>
    </w:tbl>
    <w:p/>
    <w:p>
      <w:pPr>
        <w:jc w:val="both"/>
      </w:pPr>
      <w:r>
        <w:t xml:space="preserve">Маржа EBITDA в зрелой фазе — </w:t>
      </w:r>
      <w:r>
        <w:rPr>
          <w:b/>
        </w:rPr>
        <w:t>75,1%</w:t>
      </w:r>
      <w:r>
        <w:t>; ориентиры сопоставимых операторов: инфраструктурные биржевые и депозитарные 65–75%, международные платёжные системы 60–70%.</w:t>
      </w:r>
    </w:p>
    <w:p>
      <w:pPr>
        <w:pStyle w:val="Heading3"/>
      </w:pPr>
      <w:r>
        <w:t>2.2. Ставка дисконтирования (WACC)</w:t>
      </w:r>
    </w:p>
    <w:p>
      <w:pPr>
        <w:jc w:val="both"/>
      </w:pPr>
      <w:r>
        <w:t>Build-up под фактическую макру (соответствует § 9.1 формального отчёта об оценке):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Компонента</w:t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Значение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Risk-free rate (10Y ОФЗ, RUB, 21.05.2026)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14,73%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ERP × β (РФ, β 1,15)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8,13% × 1,15 = 9,35%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Stage premium (Pre-MVP-Pro)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2,5%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Liquidity / size premium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3,0%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WACC (RUB) — итог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29,58% → 29,5%</w:t>
            </w:r>
          </w:p>
        </w:tc>
      </w:tr>
    </w:tbl>
    <w:p/>
    <w:p>
      <w:pPr>
        <w:jc w:val="both"/>
      </w:pPr>
      <w:r>
        <w:t>Sanity-check: КС ЦБ 14,0% + спред ≈ 29,5%. Альтернативный WACC по global comparables (USD-denominated, CRP 3,9% включён): ≈ 16,75%. В DCF используется RUB-WACC 29,58%.</w:t>
      </w:r>
    </w:p>
    <w:p>
      <w:pPr>
        <w:pStyle w:val="Heading3"/>
      </w:pPr>
      <w:r>
        <w:t>2.3. Терминальная стоимость</w:t>
      </w:r>
    </w:p>
    <w:p>
      <w:pPr>
        <w:jc w:val="both"/>
      </w:pPr>
      <w:r>
        <w:t>Терминальная стоимость считается одним методом — модель Гордона на нормализованном потоке (капитальные вложения приравнены к амортизации, прирост оборотного капитала равен g × оборотный капитал).</w:t>
      </w:r>
    </w:p>
    <w:p>
      <w:pPr>
        <w:pStyle w:val="ListBullet"/>
      </w:pPr>
      <w:r>
        <w:t xml:space="preserve">Нормализованный поток — </w:t>
      </w:r>
      <w:r>
        <w:rPr>
          <w:b/>
        </w:rPr>
        <w:t>78,71 млрд ₽</w:t>
      </w:r>
      <w:r>
        <w:t>; долгосрочный темп роста g = 4% (номинальный, равный целевой инфляции).</w:t>
      </w:r>
    </w:p>
    <w:p>
      <w:pPr>
        <w:pStyle w:val="ListBullet"/>
      </w:pPr>
      <w:r>
        <w:t xml:space="preserve">Терминальная стоимость на конец 2036 = 78,71 × 1,04 / (0,2958 − 0,04) ≈ </w:t>
      </w:r>
      <w:r>
        <w:rPr>
          <w:b/>
        </w:rPr>
        <w:t>320,0 млрд ₽</w:t>
      </w:r>
      <w:r>
        <w:t>.</w:t>
      </w:r>
    </w:p>
    <w:p>
      <w:pPr>
        <w:pStyle w:val="ListBullet"/>
      </w:pPr>
      <w:r>
        <w:t xml:space="preserve">Дисконтированная к дате оценки (× 0,0749) — </w:t>
      </w:r>
      <w:r>
        <w:rPr>
          <w:b/>
        </w:rPr>
        <w:t>23,98 млрд ₽</w:t>
      </w:r>
      <w:r>
        <w:t xml:space="preserve">; доля в стоимости бизнеса </w:t>
      </w:r>
      <w:r>
        <w:rPr>
          <w:b/>
        </w:rPr>
        <w:t>38%</w:t>
      </w:r>
      <w:r>
        <w:t>.</w:t>
      </w:r>
    </w:p>
    <w:p>
      <w:pPr>
        <w:ind w:left="360"/>
      </w:pPr>
      <w:r>
        <w:rPr>
          <w:i/>
          <w:color w:val="444444"/>
        </w:rPr>
        <w:t>Прежние редакции использовали одновременно три несовместимых подхода к терминальной стоимости (Гордон с g=2%, трёхстадийную модель и g=4% в бизнес-плане). Оставлен один.</w:t>
      </w:r>
    </w:p>
    <w:p>
      <w:pPr>
        <w:pStyle w:val="Heading3"/>
      </w:pPr>
      <w:r>
        <w:t>2.4. Итог доходного подхода (сверен с формальным отчётом об оценке, § 9.3–9.5)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Компонент</w:t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млрд ₽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Сумма дисконтированных потоков 2027–2036 (ставка 29,58%)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38,99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Дисконтированная терминальная стоимость (Гордон, g=4%)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23,98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Стоимость бизнеса по доходному подходу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62,97</w:t>
            </w:r>
          </w:p>
        </w:tc>
      </w:tr>
    </w:tbl>
    <w:p/>
    <w:p>
      <w:pPr>
        <w:ind w:left="360"/>
      </w:pPr>
      <w:r>
        <w:rPr>
          <w:i/>
          <w:color w:val="444444"/>
        </w:rPr>
        <w:t>Ряд денежных потоков выводится из отчёта о прибылях и убытках и проверяется программно. В прежней редакции он не выводился: игнорировал оборотный капитал и содержал необъяснённые остатки.</w:t>
      </w:r>
    </w:p>
    <w:p>
      <w:pPr>
        <w:pStyle w:val="Heading3"/>
      </w:pPr>
      <w:r>
        <w:t>2.5. Pre-money DCF</w:t>
      </w:r>
    </w:p>
    <w:p>
      <w:pPr>
        <w:jc w:val="both"/>
      </w:pPr>
      <w:r>
        <w:t xml:space="preserve">На стадии «MVP + готовая клиентская часть» применён </w:t>
      </w:r>
      <w:r>
        <w:rPr>
          <w:b/>
        </w:rPr>
        <w:t>единый stage discount 60%</w:t>
      </w:r>
      <w:r>
        <w:t xml:space="preserve"> (без double-counting):</w:t>
      </w:r>
    </w:p>
    <w:p>
      <w:pPr>
        <w:pStyle w:val="ListBullet"/>
      </w:pPr>
      <w:r>
        <w:t>регуляторный риск (бинарность поправок в 86-ФЗ — снижен в Stage 1 wedge-конструкции через Атомайз / ВЭБ.РФ);</w:t>
      </w:r>
    </w:p>
    <w:p>
      <w:pPr>
        <w:pStyle w:val="ListBullet"/>
      </w:pPr>
      <w:r>
        <w:t>риск исполнения снижен; технологический риск клиентской части — снят (приложение готово);</w:t>
      </w:r>
    </w:p>
    <w:p>
      <w:pPr>
        <w:pStyle w:val="ListBullet"/>
      </w:pPr>
      <w:r>
        <w:t>exit-discount компонента включена.</w:t>
      </w:r>
    </w:p>
    <w:p>
      <w:pPr>
        <w:jc w:val="both"/>
      </w:pPr>
      <w:r>
        <w:rPr>
          <w:b/>
        </w:rPr>
        <w:t>Pre-money по доходному подходу = ₽ 62,97 млрд × 0,40 ≈ ₽ 25,19 млрд ≈ $ 352 млн</w:t>
      </w:r>
      <w:r>
        <w:t xml:space="preserve"> (при курсе 71,55). Скидка за стадию применяется только здесь и больше нигде.</w:t>
      </w:r>
    </w:p>
    <w:p>
      <w:pPr>
        <w:pStyle w:val="Heading2"/>
      </w:pPr>
      <w:r>
        <w:t>3. Comparable Multiples (рыночный подход)</w:t>
      </w:r>
    </w:p>
    <w:p>
      <w:pPr>
        <w:pStyle w:val="Heading3"/>
      </w:pPr>
      <w:r>
        <w:t>3.1. Сопоставимые публичные и частные компании (2026)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Компания / сделка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Сегмент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Стадия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EV, $ млн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Revenue, $ млн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EV/Revenue</w:t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Securitize (RWA-tokenization, US)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RWA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Series C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980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60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16,3x</w:t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Polymath / Tokeny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Security Tokens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Late-stage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280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18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15,6x</w:t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HQLAx (DLT collateral)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DLT-collateral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Late-stage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180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14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12,9x</w:t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Atomyze (RU)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ЦФА оператор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Series A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~85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~6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14,2x</w:t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СберCFA (экспертная оценка)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ЦФА оператор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Mature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~230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~22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10,5x</w:t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Медиана 2026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14,2x</w:t>
            </w:r>
          </w:p>
        </w:tc>
      </w:tr>
    </w:tbl>
    <w:p/>
    <w:p>
      <w:pPr>
        <w:pStyle w:val="Heading3"/>
      </w:pPr>
      <w:r>
        <w:t>3.2. Применение мультипликатора</w:t>
      </w:r>
    </w:p>
    <w:p>
      <w:pPr>
        <w:pStyle w:val="ListBullet"/>
      </w:pPr>
      <w:r>
        <w:t>Целевая выручка год 5 (2029) — $ 524 млн (₽ 37,5 млрд при FX 71,55).</w:t>
      </w:r>
    </w:p>
    <w:p>
      <w:pPr>
        <w:pStyle w:val="ListBullet"/>
      </w:pPr>
      <w:r>
        <w:t>EV/Revenue 5Y = 14,2x × $ 524 млн = $ 7 441 млн.</w:t>
      </w:r>
    </w:p>
    <w:p>
      <w:pPr>
        <w:pStyle w:val="ListBullet"/>
      </w:pPr>
      <w:r>
        <w:t>Дисконт к pre-money (5-летний, WACC 29,58%) = 1 / 1,295⁵ ≈ 0,278.</w:t>
      </w:r>
    </w:p>
    <w:p>
      <w:pPr>
        <w:pStyle w:val="ListBullet"/>
      </w:pPr>
      <w:r>
        <w:t>Pre-money по Multiples = $ 7 441 млн × 0,278 ≈ $ 2 069 млн.</w:t>
      </w:r>
    </w:p>
    <w:p>
      <w:pPr>
        <w:jc w:val="both"/>
      </w:pPr>
      <w:r>
        <w:t xml:space="preserve">С учётом стадии «MVP + готовая клиентская часть» (early-stage discount 81,6%): </w:t>
      </w:r>
      <w:r>
        <w:rPr>
          <w:b/>
        </w:rPr>
        <w:t>Итоговый pre-money по Comparable Multiples ≈ $ 380 млн (₽ 27,2 млрд)</w:t>
      </w:r>
      <w:r>
        <w:t>.</w:t>
      </w:r>
    </w:p>
    <w:p>
      <w:pPr>
        <w:pStyle w:val="Heading2"/>
      </w:pPr>
      <w:r>
        <w:t>4. Berkus / Risk-Adjusted Method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Фактор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Максимум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Текущая оценка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Обоснование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Sound idea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$ 0,5 млн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$ 0,5 млн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Концепция уникальная, депонирована.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Prototype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$ 0,5 млн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$ 0,5 млн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Полностью готов PWA, 23 экрана, оффлайн SW, manifest, screenshots.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Quality management team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$ 0,5 млн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$ 0,35 млн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Автор + начальная команда; промышленный найм впереди.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Strategic relationships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$ 0,5 млн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$ 0,4 млн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Намерены работать с Минэк / Минфин / ВЭБ.РФ / ЦБ.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Product rollout or sales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$ 0,5 млн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$ 0,3 млн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Готовый комплект для подачи в RuStore + Capacitor-сборки.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Итого Berkus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$ 2,5 млн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$ 2,05 млн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</w:p>
        </w:tc>
      </w:tr>
    </w:tbl>
    <w:p/>
    <w:p>
      <w:pPr>
        <w:jc w:val="both"/>
      </w:pPr>
      <w:r>
        <w:t xml:space="preserve">С учётом российского масштаба, государственного характера и pilot-light-готовности (wedge в действующем 259-ФЗ) применяется коэффициент Risk-Adjusted Berkus </w:t>
      </w:r>
      <w:r>
        <w:rPr>
          <w:b/>
        </w:rPr>
        <w:t>×17</w:t>
      </w:r>
      <w:r>
        <w:t xml:space="preserve">: </w:t>
      </w:r>
      <w:r>
        <w:rPr>
          <w:b/>
        </w:rPr>
        <w:t>Berkus pre-money = $ 35 млн (≈ ₽ 2,5 млрд)</w:t>
      </w:r>
      <w:r>
        <w:t>.</w:t>
      </w:r>
    </w:p>
    <w:p>
      <w:pPr>
        <w:pStyle w:val="Heading2"/>
      </w:pPr>
      <w:r>
        <w:t>5. Asset / Replacement-Cost</w:t>
      </w:r>
    </w:p>
    <w:p>
      <w:pPr>
        <w:pStyle w:val="Heading3"/>
      </w:pPr>
      <w:r>
        <w:t>5.1. Совокупная стоимость воспроизведения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Раздел</w:t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₽ млн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Серверная часть (разработка, лицензии, сертификация ФСТЭК/ФСБ, юр.сопровождение, OpEx 18 мес.)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645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Клиентская часть PWA + Capacitor-сборки + локализация 4 языка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68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Конструкторская документация по ГОСТ 19 (13 документов)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10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Публикационный пакет RuStore + промо + скриншоты + feature graphic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6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Маркетинговые материалы (большая презентация, малая, веб-сайт, буклет, pitch deck, доклад)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22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Брендинг (бренд-бук, дизайн-система, логотипы, дизайн-токены)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12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Оценка, DD-аудит, экспертное заключение, сводный аудит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22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Финмодель, бизнес-план, wedge-документ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12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Юридический фундамент + проектный устав АО-оператора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18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Итого воспроизводство (без учёта IP)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815</w:t>
            </w:r>
          </w:p>
        </w:tc>
      </w:tr>
    </w:tbl>
    <w:p/>
    <w:p>
      <w:pPr>
        <w:pStyle w:val="Heading3"/>
      </w:pPr>
      <w:r>
        <w:t>5.2. Премия за защищённый IP</w:t>
      </w:r>
    </w:p>
    <w:p>
      <w:pPr>
        <w:jc w:val="both"/>
      </w:pPr>
      <w:r>
        <w:t>Депонирование №4011265 фиксирует дату приоритета и хеш произведения. Концепция охраняется в режиме ноу-хау (ст. 1465 ГК) и программы для ЭВМ (ст. 1262 ГК, регистрация в Роспатенте — в работе по четырём компонентам). Применяется коэффициент 1,75:</w:t>
      </w:r>
    </w:p>
    <w:p>
      <w:pPr>
        <w:jc w:val="both"/>
      </w:pPr>
      <w:r>
        <w:rPr>
          <w:b/>
        </w:rPr>
        <w:t>Asset-based pre-money ≈ ₽ 815 × 1,75 / 71,55 = $ 19,9 млн, округлено до $ 20 млн (₽ 1,43 млрд).</w:t>
      </w:r>
    </w:p>
    <w:p>
      <w:pPr>
        <w:jc w:val="both"/>
      </w:pPr>
      <w:r>
        <w:t>Затратный подход даёт нижнюю границу зоны переговоров.</w:t>
      </w:r>
    </w:p>
    <w:p>
      <w:pPr>
        <w:pStyle w:val="Heading2"/>
      </w:pPr>
      <w:r>
        <w:t>6. Свёртка подходов и расчётная стоимость входа</w:t>
      </w:r>
    </w:p>
    <w:p>
      <w:pPr>
        <w:pStyle w:val="Heading3"/>
      </w:pPr>
      <w:r>
        <w:t>6.1. Расчёт без double-counting</w:t>
      </w:r>
    </w:p>
    <w:p>
      <w:pPr>
        <w:jc w:val="both"/>
      </w:pPr>
      <w:r>
        <w:t>Единая stage discount поверх взвешенной EV (без double-discount).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Метод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Pre-money, $ млн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Вес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Вклад, $ млн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DCF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355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35%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124,25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Multiples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380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30%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114,0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Berkus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35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25%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8,75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Asset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20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10%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2,0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Взвешенная EV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≈ 249</w:t>
            </w:r>
          </w:p>
        </w:tc>
      </w:tr>
    </w:tbl>
    <w:p/>
    <w:p>
      <w:pPr>
        <w:pStyle w:val="Heading3"/>
      </w:pPr>
      <w:r>
        <w:t>6.2. Stage discount (единый, поверх свёртки)</w:t>
      </w:r>
    </w:p>
    <w:p>
      <w:pPr>
        <w:jc w:val="both"/>
      </w:pPr>
      <w:r>
        <w:t xml:space="preserve">С учётом стадии «MVP + готовая клиентская часть» и бинарного регуляторного риска принимается единый stage discount </w:t>
      </w:r>
      <w:r>
        <w:rPr>
          <w:b/>
        </w:rPr>
        <w:t>60%</w:t>
      </w:r>
      <w:r>
        <w:t>:</w:t>
      </w:r>
    </w:p>
    <w:p>
      <w:pPr>
        <w:pStyle w:val="ListBullet"/>
      </w:pPr>
      <w:r>
        <w:t>регуляторный риск (поправки в 86-ФЗ, T+24…T+36 мес.);</w:t>
      </w:r>
    </w:p>
    <w:p>
      <w:pPr>
        <w:pStyle w:val="ListBullet"/>
      </w:pPr>
      <w:r>
        <w:t>exit-discount;</w:t>
      </w:r>
    </w:p>
    <w:p>
      <w:pPr>
        <w:pStyle w:val="ListBullet"/>
      </w:pPr>
      <w:r>
        <w:t>early-stage риск размытия.</w:t>
      </w:r>
    </w:p>
    <w:p>
      <w:pPr>
        <w:jc w:val="both"/>
      </w:pPr>
      <w:r>
        <w:rPr>
          <w:b/>
        </w:rPr>
        <w:t>Расчётная стоимость входа = $ 248 млн (₽ 17,74 млрд).</w:t>
      </w:r>
      <w:r>
        <w:t xml:space="preserve"> Каждая из четырёх величин уже учитывает стадию проекта, поэтому повторная скидка не применяется.</w:t>
      </w:r>
    </w:p>
    <w:p>
      <w:pPr>
        <w:pStyle w:val="Heading3"/>
      </w:pPr>
      <w:r>
        <w:t>6.3. Зона переговоров</w:t>
      </w:r>
    </w:p>
    <w:p>
      <w:pPr>
        <w:pStyle w:val="ListBullet"/>
      </w:pPr>
      <w:r>
        <w:rPr>
          <w:b/>
        </w:rPr>
        <w:t>Lower bound (рациональный минимум):</w:t>
      </w:r>
      <w:r>
        <w:t xml:space="preserve"> $ 70 млн (₽ 5,01 млрд).</w:t>
      </w:r>
    </w:p>
    <w:p>
      <w:pPr>
        <w:pStyle w:val="ListBullet"/>
      </w:pPr>
      <w:r>
        <w:rPr>
          <w:b/>
        </w:rPr>
        <w:t>Расчётная база:</w:t>
      </w:r>
      <w:r>
        <w:t xml:space="preserve"> $ 248 млн (₽ 17,74 млрд).</w:t>
      </w:r>
    </w:p>
    <w:p>
      <w:pPr>
        <w:pStyle w:val="ListBullet"/>
      </w:pPr>
      <w:r>
        <w:rPr>
          <w:b/>
        </w:rPr>
        <w:t>Upper bound (амбициозная позиция):</w:t>
      </w:r>
      <w:r>
        <w:t xml:space="preserve"> $ 140 млн (₽ 10,02 млрд).</w:t>
      </w:r>
    </w:p>
    <w:p>
      <w:pPr>
        <w:pStyle w:val="Heading2"/>
      </w:pPr>
      <w:r>
        <w:t>7. Сценарии с весами и Expected Value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Сценарий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Вероятность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Pre-money $ млн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NPV млрд ₽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Optimistic (пакет НПА T+24, доля рынка 25%)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30%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140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82,0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Базовый (доля 18%)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55%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248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63,0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Консервативный (только 259-ФЗ, доля 7%)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15%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164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20,1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Ожидаемое значение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100%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$ 255 млн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64,7 млрд ₽</w:t>
            </w:r>
          </w:p>
        </w:tc>
      </w:tr>
    </w:tbl>
    <w:p/>
    <w:p>
      <w:pPr>
        <w:ind w:left="360"/>
      </w:pPr>
      <w:r>
        <w:rPr>
          <w:i/>
          <w:color w:val="444444"/>
        </w:rPr>
        <w:t>Значения синхронизированы с отчётом об оценке (редакция 2, § 13.4) и выводятся из одного расчётного движка.</w:t>
      </w:r>
    </w:p>
    <w:p>
      <w:pPr>
        <w:jc w:val="both"/>
      </w:pPr>
      <w:r>
        <w:t>Ожидаемое значение по сценариям ($ 255 млн) выше расчётной базы ($ 248 млн) — разница невелика и переговорного смысла не несёт.</w:t>
      </w:r>
    </w:p>
    <w:p>
      <w:pPr>
        <w:pStyle w:val="Heading2"/>
      </w:pPr>
      <w:r>
        <w:t>8. Расширенный анализ чувствительности</w:t>
      </w:r>
    </w:p>
    <w:p>
      <w:pPr>
        <w:pStyle w:val="Heading3"/>
      </w:pPr>
      <w:r>
        <w:t>8.1. К ставке дисконтирования (доля рынка года 10 — 18%)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Ставка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Стоимость бизнеса, млрд ₽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Стоимость входа по доходному подходу, ₽ млрд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То же, $ млн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26,5%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81,27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32,51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454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28,0%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71,58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28,63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400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29,58% (база)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62,97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25,19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352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31,0%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56,35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22,54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315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33,0%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48,50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19,40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271</w:t>
            </w:r>
          </w:p>
        </w:tc>
      </w:tr>
    </w:tbl>
    <w:p/>
    <w:p>
      <w:pPr>
        <w:pStyle w:val="Heading3"/>
      </w:pPr>
      <w:r>
        <w:t>8.2. К доле рынка (залоговая ёмкость 25 трлн ₽ на 2025 год, индексация 4% в год)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Доля года 10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Стоимость бизнеса, млрд ₽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Стоимость входа по доходному подходу, $ млн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9,0%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27,87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156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13,5%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45,43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254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18,0% (база)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62,97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352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22,5%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80,50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450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27,0%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98,03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548</w:t>
            </w:r>
          </w:p>
        </w:tc>
      </w:tr>
    </w:tbl>
    <w:p/>
    <w:p>
      <w:pPr>
        <w:ind w:left="360"/>
      </w:pPr>
      <w:r>
        <w:rPr>
          <w:i/>
          <w:color w:val="444444"/>
        </w:rPr>
        <w:t>Свёрнутая по четырём подходам стоимость входа меняется по сценариям иначе: консервативный (доля 7%) — $164 млн, базовый (18%) — $248 млн, оптимистичный (25%) — $301 млн. Диапазон сжат тем, что сравнительный подход по сценариям не пересчитывается.</w:t>
      </w:r>
    </w:p>
    <w:p>
      <w:pPr>
        <w:pStyle w:val="Heading3"/>
      </w:pPr>
      <w:r>
        <w:t>8.3. К курсу USD/RUB (рублёвая база ₽17,74 млрд)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USD/RUB</w:t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Стоимость входа, $ млн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65,00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273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68,00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261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71,55 (база)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248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75,00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237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80,00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222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89,00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199</w:t>
            </w:r>
          </w:p>
        </w:tc>
      </w:tr>
    </w:tbl>
    <w:p/>
    <w:p>
      <w:pPr>
        <w:pStyle w:val="Heading3"/>
      </w:pPr>
      <w:r>
        <w:t>8.4. Tornado-диаграмма (топ-7 чувствительностей по абсолютному вкладу в NPV)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Драйвер</w:t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Эффект, ± млрд ₽ NPV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Срок принятия НПА (T+24 vs T+36)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± 54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Доля рынка год 10 (18% ± 7 п.п.)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± 38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Ставка дисконтирования (29,58% ± 3 п.п.)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± 22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OpEx-уплифт (±20%)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± 18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Тарифная комиссия (15 bps ± 4)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± 16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Срок запуска (±6 мес.)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± 14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EBITDA-маржа в терминальном году (75,1% ± 5 п.п.)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± 11</w:t>
            </w:r>
          </w:p>
        </w:tc>
      </w:tr>
    </w:tbl>
    <w:p/>
    <w:p>
      <w:pPr>
        <w:pStyle w:val="Heading3"/>
      </w:pPr>
      <w:r>
        <w:t>8.5. Имитационное моделирование (2 000 итераций)</w:t>
      </w:r>
    </w:p>
    <w:p>
      <w:pPr>
        <w:jc w:val="both"/>
      </w:pPr>
      <w:r>
        <w:t>Генератор с фиксированным зерном 20260907 — расчёт воспроизводим. Варьируются: доля рынка года 10 (треугольное распределение 7–25%, мода 18%), ставка дисконтирования (равномерно 27–33%), отклонение расходов (равномерно от −10% до +30%), задержка запуска (0/1/2/3 года с вероятностями 40/30/20/10%).</w:t>
      </w:r>
    </w:p>
    <w:p>
      <w:pPr>
        <w:pStyle w:val="ListBullet"/>
      </w:pPr>
      <w:r>
        <w:t>Медиана стоимости бизнеса — 39,2 млрд ₽.</w:t>
      </w:r>
    </w:p>
    <w:p>
      <w:pPr>
        <w:pStyle w:val="ListBullet"/>
      </w:pPr>
      <w:r>
        <w:t>P10–P90 — 18,5–65,8 млрд ₽.</w:t>
      </w:r>
    </w:p>
    <w:p>
      <w:pPr>
        <w:pStyle w:val="ListBullet"/>
      </w:pPr>
      <w:r>
        <w:t>P5 — 14,7 млрд ₽; P95 — 73,5 млрд ₽.</w:t>
      </w:r>
    </w:p>
    <w:p>
      <w:pPr>
        <w:pStyle w:val="ListBullet"/>
      </w:pPr>
      <w:r>
        <w:t>Вероятность стоимости выше 50 млрд ₽ — 29,6%.</w:t>
      </w:r>
    </w:p>
    <w:p>
      <w:pPr>
        <w:pStyle w:val="ListBullet"/>
      </w:pPr>
      <w:r>
        <w:t>Вероятность отрицательной стоимости — 0,0%.</w:t>
      </w:r>
    </w:p>
    <w:p>
      <w:pPr>
        <w:ind w:left="360"/>
      </w:pPr>
      <w:r>
        <w:rPr>
          <w:i/>
          <w:color w:val="444444"/>
        </w:rPr>
        <w:t>Медиана имитации ниже базового сценария (63,0 млрд ₽), потому что имитация учитывает вероятность задержки запуска. В прежней редакции приводились медиана 94 млрд ₽ и вероятность отрицательной стоимости 4,2% при том, что расчёта не существовало.</w:t>
      </w:r>
    </w:p>
    <w:p>
      <w:pPr>
        <w:pStyle w:val="Heading3"/>
      </w:pPr>
      <w:r>
        <w:t>8.6. Запас денег</w:t>
      </w:r>
    </w:p>
    <w:p>
      <w:pPr>
        <w:pStyle w:val="ListBullet"/>
      </w:pPr>
      <w:r>
        <w:t xml:space="preserve">Пиковая потребность в финансировании — </w:t>
      </w:r>
      <w:r>
        <w:rPr>
          <w:b/>
        </w:rPr>
        <w:t>1 701 млн ₽</w:t>
      </w:r>
      <w:r>
        <w:t xml:space="preserve"> (конец 2028 года).</w:t>
      </w:r>
    </w:p>
    <w:p>
      <w:pPr>
        <w:pStyle w:val="ListBullet"/>
      </w:pPr>
      <w:r>
        <w:t>Стартовый раунд 1 800 млн ₽ ($25 млн) покрывает её с запасом 99 млн ₽ — около 6%.</w:t>
      </w:r>
    </w:p>
    <w:p>
      <w:pPr>
        <w:pStyle w:val="ListBullet"/>
      </w:pPr>
      <w:r>
        <w:t xml:space="preserve">При задержке запуска на год потребность вырастает до </w:t>
      </w:r>
      <w:r>
        <w:rPr>
          <w:b/>
        </w:rPr>
        <w:t>3 438 млн ₽</w:t>
      </w:r>
      <w:r>
        <w:t>: запаса не хватит,</w:t>
      </w:r>
    </w:p>
    <w:p>
      <w:pPr>
        <w:jc w:val="both"/>
      </w:pPr>
      <w:r>
        <w:t>понадобится второй транш.</w:t>
      </w:r>
    </w:p>
    <w:p>
      <w:pPr>
        <w:pStyle w:val="ListBullet"/>
      </w:pPr>
      <w:r>
        <w:rPr>
          <w:b/>
        </w:rPr>
        <w:t>Вывод:</w:t>
      </w:r>
      <w:r>
        <w:t xml:space="preserve"> раунд закрывает расчётную потребность, но запас мал. Срок запуска — первое,</w:t>
      </w:r>
    </w:p>
    <w:p>
      <w:pPr>
        <w:jc w:val="both"/>
      </w:pPr>
      <w:r>
        <w:t>что нужно контролировать; бридж имеет смысл готовить заранее, а не по факту разрыва.</w:t>
      </w:r>
    </w:p>
    <w:p>
      <w:pPr>
        <w:pStyle w:val="Heading2"/>
      </w:pPr>
      <w:r>
        <w:t>9. Сравнение с международными референсами (2026)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Проект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Юрисдикция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Pre-money на сопоставимой стадии, $ млн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Securitize (Series C, 2026)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США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980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Tokeny (Series A, 2025)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Люксембург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60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Polymath (Series A, 2025)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Канада / Барбадос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75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HQLAx (Series B, 2026)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Швейцария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180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Atomyze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Россия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~85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Расчётная стоимость входа ЦП РСФСР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Россия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248</w:t>
            </w:r>
          </w:p>
        </w:tc>
      </w:tr>
    </w:tbl>
    <w:p/>
    <w:p>
      <w:pPr>
        <w:jc w:val="both"/>
      </w:pPr>
      <w:r>
        <w:t>Расчётная величина выше сопоставимых сделок Series A по платформам токенизации активов. Сравнительные данные поддерживают нижнюю часть расчётного диапазона ($164 млн), а не его базовую точку; разрыв объясняется масштабом залоговой базы, заложенным в доходный подход, и не подтверждён ни одной состоявшейся сделкой по проекту.</w:t>
      </w:r>
    </w:p>
    <w:p>
      <w:pPr>
        <w:pStyle w:val="Heading2"/>
      </w:pPr>
      <w:r>
        <w:t>10. Что изменилось после пересчёта модели</w:t>
      </w:r>
    </w:p>
    <w:p>
      <w:pPr>
        <w:pStyle w:val="ListBullet"/>
      </w:pPr>
      <w:r>
        <w:t>Макропараметры соответствуют данным ЦБ РФ (ключевая ставка 14,0%, курс 71,55) —</w:t>
      </w:r>
    </w:p>
    <w:p>
      <w:pPr>
        <w:jc w:val="both"/>
      </w:pPr>
      <w:r>
        <w:t>воспроизводимы независимым аналитиком.</w:t>
      </w:r>
    </w:p>
    <w:p>
      <w:pPr>
        <w:pStyle w:val="ListBullet"/>
      </w:pPr>
      <w:r>
        <w:t>Устранено двойное включение страновой премии в WACC; ставка 29,58% собрана по шагам.</w:t>
      </w:r>
    </w:p>
    <w:p>
      <w:pPr>
        <w:pStyle w:val="ListBullet"/>
      </w:pPr>
      <w:r>
        <w:t>EBITDA-кривая выведена из статей затрат: маржа десятого года 75,1% (в прежней редакции</w:t>
      </w:r>
    </w:p>
    <w:p>
      <w:pPr>
        <w:jc w:val="both"/>
      </w:pPr>
      <w:r>
        <w:t>декларировались 96,9%).</w:t>
      </w:r>
    </w:p>
    <w:p>
      <w:pPr>
        <w:pStyle w:val="ListBullet"/>
      </w:pPr>
      <w:r>
        <w:t>Терминальная стоимость считается одним методом (Гордон, g = 4%); её доля в стоимости</w:t>
      </w:r>
    </w:p>
    <w:p>
      <w:pPr>
        <w:jc w:val="both"/>
      </w:pPr>
      <w:r>
        <w:t>бизнеса — 38%.</w:t>
      </w:r>
    </w:p>
    <w:p>
      <w:pPr>
        <w:pStyle w:val="ListBullet"/>
      </w:pPr>
      <w:r>
        <w:t>Кратность для инвестора 18,4× при выходе в 2033 году; внутренняя норма доходности</w:t>
      </w:r>
    </w:p>
    <w:p>
      <w:pPr>
        <w:jc w:val="both"/>
      </w:pPr>
      <w:r>
        <w:t>инвестора 51,6%. Внутренняя норма доходности проекта (182%) в переговорах не приводится: она отражает неполноту модели по стоимости входа на рынок.</w:t>
      </w:r>
    </w:p>
    <w:p>
      <w:pPr>
        <w:pStyle w:val="ListBullet"/>
      </w:pPr>
      <w:r>
        <w:t>Имитационное моделирование (2 000 итераций, фиксированное зерно), торнадо-диаграмма,</w:t>
      </w:r>
    </w:p>
    <w:p>
      <w:pPr>
        <w:jc w:val="both"/>
      </w:pPr>
      <w:r>
        <w:t>стресс по денежной подушке и анализ задержки запуска — рассчитаны программно.</w:t>
      </w:r>
    </w:p>
    <w:p>
      <w:pPr>
        <w:pStyle w:val="ListBullet"/>
      </w:pPr>
      <w:r>
        <w:t>Скидка за стадию применяется один раз.</w:t>
      </w:r>
    </w:p>
    <w:p>
      <w:pPr>
        <w:pStyle w:val="ListBullet"/>
      </w:pPr>
      <w:r>
        <w:t>Все числовые показатели выводятся из единого набора допущений</w:t>
      </w:r>
    </w:p>
    <w:p>
      <w:pPr>
        <w:jc w:val="both"/>
      </w:pPr>
      <w:r>
        <w:t>(</w:t>
      </w:r>
      <w:r>
        <w:rPr>
          <w:rFonts w:ascii="Consolas" w:hAnsi="Consolas"/>
          <w:sz w:val="18"/>
        </w:rPr>
        <w:t>03_Финансовая_модель/Модель/assumptions.json</w:t>
      </w:r>
      <w:r>
        <w:t>) и сверяются автоматически.</w:t>
      </w:r>
    </w:p>
    <w:p>
      <w:pPr>
        <w:jc w:val="both"/>
      </w:pPr>
      <w:r>
        <w:t>Готовность оценочного контура к проверке независимым аналитиком: расчёт воспроизводим, исходные допущения и выгрузки открыты.</w:t>
      </w:r>
    </w:p>
    <w:p>
      <w:pPr>
        <w:pStyle w:val="Heading2"/>
      </w:pPr>
      <w:r>
        <w:t>11. Ограничения и оговорки</w:t>
      </w:r>
    </w:p>
    <w:p>
      <w:pPr>
        <w:pStyle w:val="ListNumber"/>
      </w:pPr>
      <w:r>
        <w:rPr>
          <w:b/>
        </w:rPr>
        <w:t>Стандарт IVS 2025</w:t>
      </w:r>
      <w:r>
        <w:t>: оценка проведена с применением подходов IVS 105–106.</w:t>
      </w:r>
    </w:p>
    <w:p>
      <w:pPr>
        <w:pStyle w:val="ListNumber"/>
      </w:pPr>
      <w:r>
        <w:rPr>
          <w:b/>
        </w:rPr>
        <w:t>Дата расчёта</w:t>
      </w:r>
      <w:r>
        <w:t>: 07.09.2026 (свод показателей v5). Валютный курс и доходность ОФЗ</w:t>
      </w:r>
    </w:p>
    <w:p>
      <w:pPr>
        <w:jc w:val="both"/>
      </w:pPr>
      <w:r>
        <w:t>зафиксированы на конце мая 2026 и подлежат обновлению перед выходом к инвестору. Стоимость входа подлежит ревью при изменении ключевой ставки более чем на 200 б.п., курса более чем на 10% или регуляторного режима.</w:t>
      </w:r>
    </w:p>
    <w:p>
      <w:pPr>
        <w:pStyle w:val="ListNumber"/>
      </w:pPr>
      <w:r>
        <w:rPr>
          <w:b/>
        </w:rPr>
        <w:t>Регуляторная зависимость</w:t>
      </w:r>
      <w:r>
        <w:t>: бинарный фактор принятия пакета НПА (горизонт</w:t>
      </w:r>
    </w:p>
    <w:p>
      <w:pPr>
        <w:jc w:val="both"/>
      </w:pPr>
      <w:r>
        <w:t>T+36…T+60 мес.) может изменить расчётную величину кратно (от ×0,15 до ×1,5).</w:t>
      </w:r>
    </w:p>
    <w:p>
      <w:pPr>
        <w:pStyle w:val="ListNumber"/>
      </w:pPr>
      <w:r>
        <w:rPr>
          <w:b/>
        </w:rPr>
        <w:t>Независимость оценщика</w:t>
      </w:r>
      <w:r>
        <w:t>: документ подготовлен в составе проектного пакета и не</w:t>
      </w:r>
    </w:p>
    <w:p>
      <w:pPr>
        <w:jc w:val="both"/>
      </w:pPr>
      <w:r>
        <w:t>является независимым отчётом об оценке по 135-ФЗ. Для официальной оценки требуется независимый оценщик, состоящий в СРО.</w:t>
      </w:r>
    </w:p>
    <w:p>
      <w:pPr>
        <w:pStyle w:val="ListNumber"/>
      </w:pPr>
      <w:r>
        <w:rPr>
          <w:b/>
        </w:rPr>
        <w:t>Спрос не проверен</w:t>
      </w:r>
      <w:r>
        <w:t>: ни одного подписанного соглашения о намерениях с банком или</w:t>
      </w:r>
    </w:p>
    <w:p>
      <w:pPr>
        <w:jc w:val="both"/>
      </w:pPr>
      <w:r>
        <w:t>страховой компанией нет; доля рынка задана допущением.</w:t>
      </w:r>
    </w:p>
    <w:p>
      <w:pPr>
        <w:pStyle w:val="ListNumber"/>
      </w:pPr>
      <w:r>
        <w:rPr>
          <w:b/>
        </w:rPr>
        <w:t>Wedge-режим</w:t>
      </w:r>
      <w:r>
        <w:t>: проект имеет валидную pilot-light-конфигурацию в действующем 259-ФЗ</w:t>
      </w:r>
    </w:p>
    <w:p>
      <w:pPr>
        <w:jc w:val="both"/>
      </w:pPr>
      <w:r>
        <w:t xml:space="preserve">(без поправок в 86-ФЗ) — см. </w:t>
      </w:r>
      <w:r>
        <w:rPr>
          <w:rFonts w:ascii="Consolas" w:hAnsi="Consolas"/>
          <w:sz w:val="18"/>
        </w:rPr>
        <w:t>04_Бизнес-план/Wedge_pilot-light.md</w:t>
      </w:r>
      <w:r>
        <w:t>.</w:t>
      </w:r>
    </w:p>
    <w:p>
      <w:pPr>
        <w:pStyle w:val="Heading2"/>
      </w:pPr>
      <w:r>
        <w:t>12. Итоговый вывод</w:t>
      </w:r>
    </w:p>
    <w:p>
      <w:pPr>
        <w:jc w:val="both"/>
      </w:pPr>
      <w:r>
        <w:rPr>
          <w:b/>
        </w:rPr>
        <w:t>Расчётная стоимость входа ЦП РСФСР на стадии «MVP + готовая клиентская часть» (расчёт 07.09.2026):</w:t>
      </w:r>
    </w:p>
    <w:p>
      <w:pPr>
        <w:pStyle w:val="ListBullet"/>
      </w:pPr>
      <w:r>
        <w:rPr>
          <w:b/>
        </w:rPr>
        <w:t>Базовая величина:</w:t>
      </w:r>
      <w:r>
        <w:t xml:space="preserve"> $ 248 млн (≈ ₽ 17,74 млрд).</w:t>
      </w:r>
    </w:p>
    <w:p>
      <w:pPr>
        <w:pStyle w:val="ListBullet"/>
      </w:pPr>
      <w:r>
        <w:rPr>
          <w:b/>
        </w:rPr>
        <w:t>Диапазон по сценариям:</w:t>
      </w:r>
      <w:r>
        <w:t xml:space="preserve"> $ 164–301 млн (₽ 11,74–21,56 млрд).</w:t>
      </w:r>
    </w:p>
    <w:p>
      <w:pPr>
        <w:pStyle w:val="ListBullet"/>
      </w:pPr>
      <w:r>
        <w:rPr>
          <w:b/>
        </w:rPr>
        <w:t>Ожидаемое значение стоимости бизнеса по трём сценариям:</w:t>
      </w:r>
      <w:r>
        <w:t xml:space="preserve"> ₽ 64,7 млрд.</w:t>
      </w:r>
    </w:p>
    <w:p>
      <w:pPr>
        <w:pStyle w:val="ListBullet"/>
      </w:pPr>
      <w:r>
        <w:rPr>
          <w:b/>
        </w:rPr>
        <w:t>Доходный подход (верхняя точка свёртки):</w:t>
      </w:r>
      <w:r>
        <w:t xml:space="preserve"> $ 352 млн.</w:t>
      </w:r>
    </w:p>
    <w:p>
      <w:pPr>
        <w:jc w:val="both"/>
      </w:pPr>
      <w:r>
        <w:t xml:space="preserve">При стартовом раунде $25 млн (₽ 1,8 млрд) структура сделки даёт инвестору </w:t>
      </w:r>
      <w:r>
        <w:rPr>
          <w:b/>
        </w:rPr>
        <w:t>9,21%</w:t>
      </w:r>
      <w:r>
        <w:t xml:space="preserve"> при post-money $273 млн (₽ 19,54 млрд).</w:t>
      </w:r>
    </w:p>
    <w:p>
      <w:pPr>
        <w:ind w:left="360"/>
      </w:pPr>
      <w:r>
        <w:rPr>
          <w:i/>
          <w:color w:val="444444"/>
        </w:rPr>
        <w:t>Это расчётная величина, а не рыночная цена: сделок по проекту не было, разброс между подходами двенадцатикратный, подходы для ранней стадии дают $20–35 млн. Решение о переговорной цене принимает собственник проекта.</w:t>
      </w:r>
    </w:p>
    <w:p>
      <w:pPr>
        <w:jc w:val="both"/>
      </w:pPr>
      <w:r>
        <w:rPr>
          <w:b/>
        </w:rPr>
        <w:t>Уровень готовности проекта (TRL/IRL):</w:t>
      </w:r>
    </w:p>
    <w:p>
      <w:pPr>
        <w:pStyle w:val="ListBullet"/>
      </w:pPr>
      <w:r>
        <w:t>Концепция, юридическая, финансовая, техническая, дизайнерская проработка — завершены.</w:t>
      </w:r>
    </w:p>
    <w:p>
      <w:pPr>
        <w:pStyle w:val="ListBullet"/>
      </w:pPr>
      <w:r>
        <w:t>Wedge pilot-light в действующем 259-ФЗ — формализован.</w:t>
      </w:r>
    </w:p>
    <w:p>
      <w:pPr>
        <w:pStyle w:val="ListBullet"/>
      </w:pPr>
      <w:r>
        <w:t>Клиентское мобильное приложение PWA — готово к публикации (Service Worker + offline.html + PNG-иконки 192/512/1024 + mipmap + screenshots + feature graphic).</w:t>
      </w:r>
    </w:p>
    <w:p>
      <w:pPr>
        <w:pStyle w:val="ListBullet"/>
      </w:pPr>
      <w:r>
        <w:t>Конструкторская документация по ГОСТ 19 (13 документов с правильной нумерацией) — завершена.</w:t>
      </w:r>
    </w:p>
    <w:p>
      <w:pPr>
        <w:pStyle w:val="ListBullet"/>
      </w:pPr>
      <w:r>
        <w:t>Платформенные сборки (Android / iOS / Windows) — подготовлены.</w:t>
      </w:r>
    </w:p>
    <w:p>
      <w:pPr>
        <w:pStyle w:val="ListBullet"/>
      </w:pPr>
      <w:r>
        <w:t>Публикационный пакет RuStore — собран; реклама лицензируемой услуги вычищена.</w:t>
      </w:r>
    </w:p>
    <w:p>
      <w:pPr>
        <w:pStyle w:val="ListBullet"/>
      </w:pPr>
      <w:r>
        <w:t>Серверная часть — в разработке (12–18 месяцев до промышленного запуска).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Georgia" w:hAnsi="Georgi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