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Room INDEX — ЦП РСФСР</w:t>
      </w:r>
    </w:p>
    <w:p>
      <w:pPr>
        <w:jc w:val="both"/>
      </w:pPr>
      <w:r>
        <w:rPr>
          <w:b/>
        </w:rPr>
        <w:t>Engagement reference:</w:t>
      </w:r>
      <w:r>
        <w:t xml:space="preserve"> RSFSR-DR-2026 </w:t>
      </w:r>
      <w:r>
        <w:rPr>
          <w:b/>
        </w:rPr>
        <w:t>Дата:</w:t>
      </w:r>
      <w:r>
        <w:t xml:space="preserve"> 24.05.2026 </w:t>
      </w:r>
      <w:r>
        <w:rPr>
          <w:b/>
        </w:rPr>
        <w:t>Структура:</w:t>
      </w:r>
      <w:r>
        <w:t xml:space="preserve"> канон Intralinks / Datasite / Firmex </w:t>
      </w:r>
      <w:r>
        <w:rPr>
          <w:b/>
        </w:rPr>
        <w:t>Permission tiers:</w:t>
      </w:r>
      <w:r>
        <w:t xml:space="preserve"> </w:t>
      </w:r>
      <w:r>
        <w:rPr>
          <w:rFonts w:ascii="Consolas" w:hAnsi="Consolas"/>
          <w:sz w:val="18"/>
        </w:rPr>
        <w:t>full</w:t>
      </w:r>
      <w:r>
        <w:t xml:space="preserve"> / </w:t>
      </w:r>
      <w:r>
        <w:rPr>
          <w:rFonts w:ascii="Consolas" w:hAnsi="Consolas"/>
          <w:sz w:val="18"/>
        </w:rPr>
        <w:t>restricted</w:t>
      </w:r>
      <w:r>
        <w:t xml:space="preserve"> / </w:t>
      </w:r>
      <w:r>
        <w:rPr>
          <w:rFonts w:ascii="Consolas" w:hAnsi="Consolas"/>
          <w:sz w:val="18"/>
        </w:rPr>
        <w:t>Q&amp;A-only</w:t>
      </w:r>
      <w:r>
        <w:t xml:space="preserve"> / </w:t>
      </w:r>
      <w:r>
        <w:rPr>
          <w:rFonts w:ascii="Consolas" w:hAnsi="Consolas"/>
          <w:sz w:val="18"/>
        </w:rPr>
        <w:t>no-access</w:t>
      </w:r>
    </w:p>
    <w:p>
      <w:pPr>
        <w:pStyle w:val="Heading2"/>
      </w:pPr>
      <w:r>
        <w:t>01_Corporate — Корпоративные документы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Документ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Источник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Готовность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01.01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Свидетельство о государственной регистрации юр.лица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После регистрации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T+0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01.02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Устав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После регистрации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T+0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01.03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Соглашение акционеров (SHA)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T+1 мес.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01.04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Реестр акционеров (CapTable)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Live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Live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01.05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Протоколы заседаний СД и общих собраний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Live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Live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01.06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Биография автора (Кагиров А.-Х.А.)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Внешн. источник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Готово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01.07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Authorship deposit certificate №4011265 от 19.12.2024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ireg.pro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Готово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01.08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Хеш ГОСТ-Р 34.11-2012 концепта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Внутр.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Готово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01.09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Governance Pack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16_Governance_и_Compliance/Governance_Pack.md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Готово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01.10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Compliance Matrix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16_Governance_и_Compliance/Compliance_Matrix.md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Готово</w:t>
            </w:r>
          </w:p>
        </w:tc>
      </w:tr>
    </w:tbl>
    <w:p/>
    <w:p>
      <w:pPr>
        <w:pStyle w:val="Heading2"/>
      </w:pPr>
      <w:r>
        <w:t>02_Financials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Документ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Источник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Готовность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02.01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Финансовая модель (2027–2036 + терминальная стоимость по Гордону)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03_Финансовая_модель/Финансовая_модель_ЦП_РСФСР.md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Готово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02.02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Допущения и расчёты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03_Финансовая_модель/Финмодель_допущения_и_расчёты.md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Готово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02.03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Единые показатели (свод показателей v5)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_Мастер/Единые_показатели_v2.md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Готово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02.04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Интерактивный калькулятор финмодели (HTML)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_shared/finmodel.js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Готово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02.05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Международная оценка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11_Оценка/Международная_оценка_проекта.md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Готово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02.06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Сценарии и Monte Carlo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03_Финансовая_модель/</w:t>
            </w:r>
            <w:r>
              <w:rPr>
                <w:sz w:val="17"/>
              </w:rPr>
              <w:t xml:space="preserve"> (раздел Sensitivity)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Готово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02.07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Cash-runway-стресс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03_Финансовая_модель/Финансовая_модель_ЦП_РСФСР.md</w:t>
            </w:r>
            <w:r>
              <w:rPr>
                <w:sz w:val="17"/>
              </w:rPr>
              <w:t xml:space="preserve"> § Cash-runway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Готово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02.08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Use of Funds Stage 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07_Презентации/Для_партнёров_инвесторов/Pitch_deck.html</w:t>
            </w:r>
            <w:r>
              <w:rPr>
                <w:sz w:val="17"/>
              </w:rPr>
              <w:t xml:space="preserve"> slide 10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Готово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02.09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Bridge financing schedule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Roadmap T+3 мес.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02.10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Vendor DD по финмодели (после Big-4)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Roadmap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T+8 мес.</w:t>
            </w:r>
          </w:p>
        </w:tc>
      </w:tr>
    </w:tbl>
    <w:p/>
    <w:p>
      <w:pPr>
        <w:pStyle w:val="Heading2"/>
      </w:pPr>
      <w:r>
        <w:t>03_Tax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Документ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Источник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Готовность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03.01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НК РФ положения (пп. 12.2 ст. 149; ст. 34.2; ИТ-льгота)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Внешн.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Roadmap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03.02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Tax DD от Big-4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Roadmap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T+8 мес.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03.03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Структурирование Stage 1 / Stage 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_Мастер/Концепт.md</w:t>
            </w:r>
            <w:r>
              <w:rPr>
                <w:sz w:val="17"/>
              </w:rPr>
              <w:t xml:space="preserve"> § 1-bis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Готово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03.04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FATCA / CRS comp. (если international LP)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T+12 мес.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03.05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Налоговая декларация (post-launch)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Live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T+24 мес.</w:t>
            </w:r>
          </w:p>
        </w:tc>
      </w:tr>
    </w:tbl>
    <w:p/>
    <w:p>
      <w:pPr>
        <w:pStyle w:val="Heading2"/>
      </w:pPr>
      <w:r>
        <w:t>04_Legal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Документ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Источник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Готовность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04.01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Юридический фундамент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02_Юридический_фундамент/Юридический_фундамент_ЦП_РСФСР.md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Готово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04.02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Договорный пакет (5 договоров)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02_Юридический_фундамент/Договорный_пакет/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Готово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04.03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Pre-meeting briefs (4 драфта LoI/MoU)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02_Юридический_фундамент/Pre-meeting_briefs/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Готово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04.04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Legal Opinion (после tier-1 firm)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Roadmap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T+5 мес.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04.05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EULA / Privacy Policy / Terms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09_Мобильное_приложение/Публикация_RuStore/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Готово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04.06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Trademark applications «ЦП РСФСР»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Roadmap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T+3 мес.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04.07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Software registration (ст. 1262 ГК)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Roadmap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T+12 мес.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04.08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Know-how regime documentation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Внутр.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 (high)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Готово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04.09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NDA templates (mutual + one-way)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Внутр.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Готово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04.10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Litigation register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Live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Live</w:t>
            </w:r>
          </w:p>
        </w:tc>
      </w:tr>
    </w:tbl>
    <w:p/>
    <w:p>
      <w:pPr>
        <w:pStyle w:val="Heading2"/>
      </w:pPr>
      <w:r>
        <w:t>05_Commercial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Документ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Источник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Готовность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05.01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Бизнес-план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04_Бизнес-план/Бизнес-план_ЦП_РСФСР.md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Готово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05.02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DD отчёт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12_DD_аудит/DD_отчёт.md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Готово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05.03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Champion-map (Government Champions)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_Мастер/Концепт.md</w:t>
            </w:r>
            <w:r>
              <w:rPr>
                <w:sz w:val="17"/>
              </w:rPr>
              <w:t xml:space="preserve"> § 1-ter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 (high)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Готово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05.04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Market Study от tier-1 firm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Roadmap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T+12 мес.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05.05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Partner LoI/MoU register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02_Юридический_фундамент/Pre-meeting_briefs/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Готово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05.06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Customer pipeline (post-launch)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Live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T+18 мес.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05.07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Pricing strategy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03_Финансовая_модель/Финмодель_допущения_и_расчёты.md</w:t>
            </w:r>
            <w:r>
              <w:rPr>
                <w:sz w:val="17"/>
              </w:rPr>
              <w:t xml:space="preserve"> § 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Готово</w:t>
            </w:r>
          </w:p>
        </w:tc>
      </w:tr>
    </w:tbl>
    <w:p/>
    <w:p>
      <w:pPr>
        <w:pStyle w:val="Heading2"/>
      </w:pPr>
      <w:r>
        <w:t>06_Operations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Документ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Источник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Готовность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06.01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Дорожная карта разработки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01_Техническая_документация/07_Дорожная_карта_разработки.md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Готово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06.02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Архитектурные диаграммы C4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01_Техническая_документация/08_Архитектурные_диаграммы.md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Готово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06.03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Безопасность и КИИ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01_Техническая_документация/05_Безопасность_и_КИИ.md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 (high)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Готово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06.04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DLT-реестр ЦФА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01_Техническая_документация/06_DLT_реестр_ЦФА.md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Готово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06.05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Интеграции с ГИС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01_Техническая_документация/04_Интеграции_с_ГИС.md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Готово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06.06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Спецификация мобильного приложения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09_Мобильное_приложение/Спецификация_мобильного_приложения.md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Готово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06.07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Конструкторская документация ГОСТ 19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09_Мобильное_приложение/Конструкторская_документация/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Готово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06.08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Incident response plan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Roadmap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T+6 мес.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06.09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BCP / DRP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Roadmap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T+12 мес.</w:t>
            </w:r>
          </w:p>
        </w:tc>
      </w:tr>
    </w:tbl>
    <w:p/>
    <w:p>
      <w:pPr>
        <w:pStyle w:val="Heading2"/>
      </w:pPr>
      <w:r>
        <w:t>07_IT_IP — IT-инфраструктура и интеллектуальная собственность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Документ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Источник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Готовность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07.01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Software architecture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01_Техническая_документация/01_Концепция_архитектуры.md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Готово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07.02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Tech stack inventory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T+1 мес.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07.03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Open-source licenses register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T+3 мес.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07.04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Code repository access (read-only)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Live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 (high)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После Series A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07.05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ФСТЭК КИИ-1 certification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Roadmap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T+8 мес.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07.06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SOC 2 Type II report (after observation)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Roadmap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T+24 мес.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07.07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ISO 27001:2022 certificate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Roadmap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T+14 мес.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07.08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Penetration testing report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Roadmap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 (high)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T+9 мес.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07.09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IP portfolio (trademarks, software regs, know-how deposits)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Live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Готово (частично)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07.10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Vendor agreements (cloud / SaaS / consulting)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Roadmap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T+6 мес.</w:t>
            </w:r>
          </w:p>
        </w:tc>
      </w:tr>
    </w:tbl>
    <w:p/>
    <w:p>
      <w:pPr>
        <w:pStyle w:val="Heading2"/>
      </w:pPr>
      <w:r>
        <w:t>08_HR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Документ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Источник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Готовность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08.01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Employment agreements template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Roadmap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T+3 мес.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08.02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Non-compete / non-solicit clauses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Roadmap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T+3 мес.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08.03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Team org chart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Live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T+1 мес.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08.04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ESOP (Employee Stock Option Plan)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Roadmap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 (high)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T+6 мес.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08.05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Compensation benchmarks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T+6 мес.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08.06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Background checks для key hires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Live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 (high)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T+3 мес.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08.07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DEI policy (Diversity, Equity, Inclusion)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Roadmap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T+12 мес.</w:t>
            </w:r>
          </w:p>
        </w:tc>
      </w:tr>
    </w:tbl>
    <w:p/>
    <w:p>
      <w:pPr>
        <w:pStyle w:val="Heading2"/>
      </w:pPr>
      <w:r>
        <w:t>09_ESG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Документ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Источник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Готовность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09.01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ESG Policy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16_Governance_и_Compliance/Governance_Pack.md</w:t>
            </w:r>
            <w:r>
              <w:rPr>
                <w:sz w:val="17"/>
              </w:rPr>
              <w:t xml:space="preserve"> § 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Готово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09.02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Carbon footprint inventory (Scope 1 + 2)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Roadmap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T+18 мес.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09.03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SASB Standards reporting (first annual)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Roadmap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T+12 мес.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09.04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TCFD disclosure (first annual)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Roadmap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T+12 мес.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09.05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Modern Slavery Statement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Roadmap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T+12 мес.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09.06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Anti-Bribery Policy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Governance Pack § 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Готово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09.07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Whistleblower channel data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Live (after launch)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restricted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T+6 мес.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09.08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UN SDG alignment statement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Governance Pack § 5.3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Готово</w:t>
            </w:r>
          </w:p>
        </w:tc>
      </w:tr>
    </w:tbl>
    <w:p/>
    <w:p>
      <w:pPr>
        <w:pStyle w:val="Heading2"/>
      </w:pPr>
      <w:r>
        <w:t>10_Insurance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Документ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Источник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Готовность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10.01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D&amp;O Insurance policy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Roadmap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T+3 мес.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10.02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Professional Indemnity insurance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Roadmap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T+6 мес.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10.03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Cyber insurance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Roadmap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T+6 мес.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10.04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E&amp;O Insurance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Roadmap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T+6 мес.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10.05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Business interruption insurance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Roadmap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full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T+12 мес.</w:t>
            </w:r>
          </w:p>
        </w:tc>
      </w:tr>
    </w:tbl>
    <w:p/>
    <w:p>
      <w:pPr>
        <w:pStyle w:val="Heading2"/>
      </w:pPr>
      <w:r>
        <w:t>Access Control &amp; Permissions</w:t>
      </w:r>
    </w:p>
    <w:p>
      <w:pPr>
        <w:jc w:val="both"/>
      </w:pPr>
      <w:r>
        <w:rPr>
          <w:b/>
        </w:rPr>
        <w:t>Permission Tiers:</w:t>
      </w:r>
    </w:p>
    <w:p>
      <w:pPr>
        <w:pStyle w:val="ListBullet"/>
      </w:pPr>
      <w:r>
        <w:rPr>
          <w:b/>
        </w:rPr>
        <w:t>`full`</w:t>
      </w:r>
      <w:r>
        <w:t xml:space="preserve"> — все potential investors после signed NDA</w:t>
      </w:r>
    </w:p>
    <w:p>
      <w:pPr>
        <w:pStyle w:val="ListBullet"/>
      </w:pPr>
      <w:r>
        <w:rPr>
          <w:b/>
        </w:rPr>
        <w:t>`restricted`</w:t>
      </w:r>
      <w:r>
        <w:t xml:space="preserve"> — только qualified investors (LP/GP) после Engagement Letter</w:t>
      </w:r>
    </w:p>
    <w:p>
      <w:pPr>
        <w:pStyle w:val="ListBullet"/>
      </w:pPr>
      <w:r>
        <w:rPr>
          <w:b/>
        </w:rPr>
        <w:t>`restricted (high)`</w:t>
      </w:r>
      <w:r>
        <w:t xml:space="preserve"> — только Big-4 vendor DD team + tier-1 legal opinion firm + Series A lead</w:t>
      </w:r>
    </w:p>
    <w:p>
      <w:pPr>
        <w:pStyle w:val="ListBullet"/>
      </w:pPr>
      <w:r>
        <w:rPr>
          <w:b/>
        </w:rPr>
        <w:t>`Q&amp;A-only`</w:t>
      </w:r>
      <w:r>
        <w:t xml:space="preserve"> — документ не передаётся; ответы на вопросы дают через formal Q&amp;A channel</w:t>
      </w:r>
    </w:p>
    <w:p>
      <w:pPr>
        <w:pStyle w:val="ListBullet"/>
      </w:pPr>
      <w:r>
        <w:rPr>
          <w:b/>
        </w:rPr>
        <w:t>`no-access`</w:t>
      </w:r>
      <w:r>
        <w:t xml:space="preserve"> — internal only</w:t>
      </w:r>
    </w:p>
    <w:p>
      <w:pPr>
        <w:pStyle w:val="Heading2"/>
      </w:pPr>
      <w:r>
        <w:t>Disclosure Letter Template</w:t>
      </w:r>
    </w:p>
    <w:p>
      <w:pPr>
        <w:jc w:val="both"/>
      </w:pPr>
      <w:r>
        <w:t xml:space="preserve">Disclosure Letter передаётся вместе с проектом SPA / SHA и явно раскрывает все материальные исключения из standard warranties. Template находится в </w:t>
      </w:r>
      <w:r>
        <w:rPr>
          <w:rFonts w:ascii="Consolas" w:hAnsi="Consolas"/>
          <w:sz w:val="18"/>
        </w:rPr>
        <w:t>01_Corporate/Disclosure_Letter_template.md</w:t>
      </w:r>
      <w:r>
        <w:t xml:space="preserve"> (готовится в T+1 мес. вместе с SHA).</w:t>
      </w:r>
    </w:p>
    <w:p>
      <w:pPr>
        <w:pStyle w:val="Heading2"/>
      </w:pPr>
      <w:r>
        <w:t>VDR Tool Selection (для production)</w:t>
      </w:r>
    </w:p>
    <w:p>
      <w:pPr>
        <w:jc w:val="both"/>
      </w:pPr>
      <w:r>
        <w:t>Для актуального раунда рекомендуется один из:</w:t>
      </w:r>
    </w:p>
    <w:p>
      <w:pPr>
        <w:pStyle w:val="ListBullet"/>
      </w:pPr>
      <w:r>
        <w:rPr>
          <w:b/>
        </w:rPr>
        <w:t>Intralinks</w:t>
      </w:r>
      <w:r>
        <w:t xml:space="preserve"> (industry standard, used by Big-4)</w:t>
      </w:r>
    </w:p>
    <w:p>
      <w:pPr>
        <w:pStyle w:val="ListBullet"/>
      </w:pPr>
      <w:r>
        <w:rPr>
          <w:b/>
        </w:rPr>
        <w:t>Datasite</w:t>
      </w:r>
      <w:r>
        <w:t xml:space="preserve"> (formerly Merrill Datasite)</w:t>
      </w:r>
    </w:p>
    <w:p>
      <w:pPr>
        <w:pStyle w:val="ListBullet"/>
      </w:pPr>
      <w:r>
        <w:rPr>
          <w:b/>
        </w:rPr>
        <w:t>Firmex</w:t>
      </w:r>
      <w:r>
        <w:t xml:space="preserve"> (mid-market, good UX)</w:t>
      </w:r>
    </w:p>
    <w:p>
      <w:pPr>
        <w:pStyle w:val="ListBullet"/>
      </w:pPr>
      <w:r>
        <w:rPr>
          <w:b/>
        </w:rPr>
        <w:t>iDeals</w:t>
      </w:r>
      <w:r>
        <w:t xml:space="preserve"> (cost-effective)</w:t>
      </w:r>
    </w:p>
    <w:p>
      <w:pPr>
        <w:jc w:val="both"/>
      </w:pPr>
      <w:r>
        <w:t xml:space="preserve">Self-hosted alternatives для post-Series A раундов: </w:t>
      </w:r>
      <w:r>
        <w:rPr>
          <w:b/>
        </w:rPr>
        <w:t>Cylynx VDR</w:t>
      </w:r>
      <w:r>
        <w:t xml:space="preserve">, </w:t>
      </w:r>
      <w:r>
        <w:rPr>
          <w:b/>
        </w:rPr>
        <w:t>Onehub</w:t>
      </w:r>
      <w:r>
        <w:t xml:space="preserve">, </w:t>
      </w:r>
      <w:r>
        <w:rPr>
          <w:b/>
        </w:rPr>
        <w:t>SecureDocs</w:t>
      </w:r>
      <w:r>
        <w:t>.</w:t>
      </w:r>
    </w:p>
    <w:p>
      <w:pPr>
        <w:pStyle w:val="Heading2"/>
      </w:pPr>
      <w:r>
        <w:t>Q&amp;A Process</w:t>
      </w:r>
    </w:p>
    <w:p>
      <w:pPr>
        <w:pStyle w:val="ListBullet"/>
      </w:pPr>
      <w:r>
        <w:t>Q&amp;A только через VDR Q&amp;A-tool (no email channel).</w:t>
      </w:r>
    </w:p>
    <w:p>
      <w:pPr>
        <w:pStyle w:val="ListBullet"/>
      </w:pPr>
      <w:r>
        <w:t>Все вопросы логируются.</w:t>
      </w:r>
    </w:p>
    <w:p>
      <w:pPr>
        <w:pStyle w:val="ListBullet"/>
      </w:pPr>
      <w:r>
        <w:t>Ответы ≤ 48 ч после получения вопроса.</w:t>
      </w:r>
    </w:p>
    <w:p>
      <w:pPr>
        <w:pStyle w:val="ListBullet"/>
      </w:pPr>
      <w:r>
        <w:t>Управление Q&amp;A ведёт Compliance Officer + General Counsel + relevant subject-matter expert.</w:t>
      </w:r>
    </w:p>
    <w:p>
      <w:pPr>
        <w:pStyle w:val="ListBullet"/>
      </w:pPr>
      <w:r>
        <w:t>Daily Q&amp;A digest рассылается всем active interest parties.</w:t>
      </w:r>
    </w:p>
    <w:p>
      <w:pPr>
        <w:pStyle w:val="Heading2"/>
      </w:pPr>
      <w:r>
        <w:t>Audit Trail</w:t>
      </w:r>
    </w:p>
    <w:p>
      <w:pPr>
        <w:jc w:val="both"/>
      </w:pPr>
      <w:r>
        <w:t>VDR-tool автоматически логирует:</w:t>
      </w:r>
    </w:p>
    <w:p>
      <w:pPr>
        <w:pStyle w:val="ListBullet"/>
      </w:pPr>
      <w:r>
        <w:t>Кто открыл документ</w:t>
      </w:r>
    </w:p>
    <w:p>
      <w:pPr>
        <w:pStyle w:val="ListBullet"/>
      </w:pPr>
      <w:r>
        <w:t>Сколько времени смотрел</w:t>
      </w:r>
    </w:p>
    <w:p>
      <w:pPr>
        <w:pStyle w:val="ListBullet"/>
      </w:pPr>
      <w:r>
        <w:t xml:space="preserve">Скачивал ли (для tier </w:t>
      </w:r>
      <w:r>
        <w:rPr>
          <w:rFonts w:ascii="Consolas" w:hAnsi="Consolas"/>
          <w:sz w:val="18"/>
        </w:rPr>
        <w:t>restricted (high)</w:t>
      </w:r>
      <w:r>
        <w:t xml:space="preserve"> — отключено)</w:t>
      </w:r>
    </w:p>
    <w:p>
      <w:pPr>
        <w:pStyle w:val="ListBullet"/>
      </w:pPr>
      <w:r>
        <w:t>Снимки экрана (water-marking)</w:t>
      </w:r>
    </w:p>
    <w:p>
      <w:pPr>
        <w:jc w:val="both"/>
      </w:pPr>
      <w:r>
        <w:t>Audit Trail review ежеквартально в Audit Committee.</w:t>
      </w:r>
    </w:p>
    <w:p>
      <w:pPr>
        <w:jc w:val="both"/>
      </w:pPr>
      <w:r>
        <w:rPr>
          <w:b/>
        </w:rPr>
        <w:t>Дата:</w:t>
      </w:r>
      <w:r>
        <w:t xml:space="preserve"> 24.05.2026 </w:t>
      </w:r>
      <w:r>
        <w:rPr>
          <w:b/>
        </w:rPr>
        <w:t>Engagement reference:</w:t>
      </w:r>
      <w:r>
        <w:t xml:space="preserve"> RSFSR-DR-2026 </w:t>
      </w:r>
      <w:r>
        <w:rPr>
          <w:b/>
        </w:rPr>
        <w:t>Center Group Company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