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تأسيس شركة المساهمة–المشغّل والتسجيل التنظيمي</w:t>
      </w:r>
    </w:p>
    <w:p>
      <w:pPr>
        <w:jc w:val="both"/>
      </w:pPr>
      <w:r>
        <w:rPr>
          <w:b/>
        </w:rPr>
        <w:t>الوثيقة:</w:t>
      </w:r>
      <w:r>
        <w:t xml:space="preserve"> مشروع تأسيس المشغّل الشخصية الاعتبارية وخطة التسجيل التنظيمي بالتوازي. </w:t>
      </w:r>
      <w:r>
        <w:rPr>
          <w:b/>
        </w:rPr>
        <w:t>الهدف:</w:t>
      </w:r>
      <w:r>
        <w:t xml:space="preserve"> إغلاق الإشارات الحمراء B5 (غياب المشغّل المؤسسي) وB6 (غياب التسجيل لدى Roskomnadzor) من التدقيق الموحَّد بتاريخ 24.05.2026. </w:t>
      </w:r>
      <w:r>
        <w:rPr>
          <w:b/>
        </w:rPr>
        <w:t>مؤلف المفهوم والمؤسس الوحيد:</w:t>
      </w:r>
      <w:r>
        <w:t xml:space="preserve"> عبد الحكيم أحمدوفيتش كاغيروف (شهادة إيداع رقم 4011265 بتاريخ 19.12.2024). </w:t>
      </w:r>
      <w:r>
        <w:rPr>
          <w:b/>
        </w:rPr>
        <w:t>التاريخ:</w:t>
      </w:r>
      <w:r>
        <w:t xml:space="preserve"> 24.05.2026.</w:t>
      </w:r>
    </w:p>
    <w:p>
      <w:pPr>
        <w:pStyle w:val="Heading2"/>
      </w:pPr>
      <w:r>
        <w:t>1. الهيكل المؤسسي</w:t>
      </w:r>
    </w:p>
    <w:p>
      <w:pPr>
        <w:pStyle w:val="Heading3"/>
      </w:pPr>
      <w:r>
        <w:t>1.1. نوع الشخص الاعتباري</w:t>
      </w:r>
    </w:p>
    <w:p>
      <w:pPr>
        <w:jc w:val="both"/>
      </w:pPr>
      <w:r>
        <w:rPr>
          <w:b/>
        </w:rPr>
        <w:t>شركة المساهمة «المنصة الرقمية ج.س.ف.س.ر» (شركة مساهمة غير عامة، المادة 7 من القانون الفيدرالي رقم 208-FZ بتاريخ 26.12.1995 «بشأن شركات المساهمة»).</w:t>
      </w:r>
    </w:p>
    <w:p>
      <w:pPr>
        <w:jc w:val="both"/>
      </w:pPr>
      <w:r>
        <w:t>مبررات اختيار الشكل:</w:t>
      </w:r>
    </w:p>
    <w:p>
      <w:pPr>
        <w:pStyle w:val="ListBullet"/>
      </w:pPr>
      <w:r>
        <w:t>مطابق للمادة 5 الجزء 1 من القانون 259-FZ (المتطلبات على مشغّل نظام معلومات الأصول الرقمية — شركة مساهمة غير عامة أو شركة محدودة المسؤولية أو مؤسسة ائتمانية).</w:t>
      </w:r>
    </w:p>
    <w:p>
      <w:pPr>
        <w:pStyle w:val="ListBullet"/>
      </w:pPr>
      <w:r>
        <w:t>يسمح بالعمل المُوجَّه مع المستثمرين عبر إصدار الأسهم الممتازة.</w:t>
      </w:r>
    </w:p>
    <w:p>
      <w:pPr>
        <w:pStyle w:val="ListBullet"/>
      </w:pPr>
      <w:r>
        <w:t>يجيز المشاركة في المشاريع البين-وزارية على مستوى VEB.RF / وزارة التنمية الاقتصادية.</w:t>
      </w:r>
    </w:p>
    <w:p>
      <w:pPr>
        <w:pStyle w:val="Heading3"/>
      </w:pPr>
      <w:r>
        <w:t>1.2. رأس المال والأموال الخاصة</w:t>
      </w:r>
    </w:p>
    <w:p>
      <w:pPr>
        <w:jc w:val="both"/>
      </w:pPr>
      <w:r>
        <w:rPr>
          <w:b/>
        </w:rPr>
        <w:t>انتباه (التمييز القانوني بين 208-FZ وتوجيه بنك روسيا 4336-U):</w:t>
      </w:r>
      <w:r>
        <w:t xml:space="preserve"> رأس المال (المادة 25 من 208-FZ) والأموال الخاصة لمشغّل نظام المعلومات للأصول الرقمية (توجيه بنك روسيا 4336-U تطويرًا لـ779-P) فئتان مختلفتان. للحصول على وضع مشغّل نظام معلومات الأصول الرقمية، تُشتَرط في آن واحد:</w:t>
      </w:r>
    </w:p>
    <w:p>
      <w:pPr>
        <w:pStyle w:val="ListBullet"/>
      </w:pPr>
      <w:r>
        <w:rPr>
          <w:b/>
        </w:rPr>
        <w:t>رأس مال شركة المساهمة:</w:t>
      </w:r>
      <w:r>
        <w:t xml:space="preserve"> لا يقلّ عن 100 000 روبل (الحد الأدنى بمقتضى المادة 26 من 208-FZ لشركة مساهمة غير عامة). عند التأسيس يُخطَّط لـ≥ 10 000 000 روبل من الأسهم العادية المدفوعة.</w:t>
      </w:r>
    </w:p>
    <w:p>
      <w:pPr>
        <w:pStyle w:val="ListBullet"/>
      </w:pPr>
      <w:r>
        <w:rPr>
          <w:b/>
        </w:rPr>
        <w:t>الأموال الخاصة (رأس المال) ≥ 50 000 000 روبل</w:t>
      </w:r>
      <w:r>
        <w:t xml:space="preserve"> (متطلب البند 1.2 من توجيه بنك روسيا 4336-U). تتشكَّل من رأس المال المدفوع والإيرادات من الإصدار والأرباح غير الموزَّعة ومصادر أخرى وفق منهجية بنك روسيا. تُؤكَّد بتقرير تدقيق.</w:t>
      </w:r>
    </w:p>
    <w:p>
      <w:pPr>
        <w:jc w:val="both"/>
      </w:pPr>
      <w:r>
        <w:t>البنية وقت التأسيس:</w:t>
      </w:r>
    </w:p>
    <w:p>
      <w:pPr>
        <w:pStyle w:val="ListBullet"/>
      </w:pPr>
      <w:r>
        <w:t>100% من الأسهم العادية لدى المؤسس.</w:t>
      </w:r>
    </w:p>
    <w:p>
      <w:pPr>
        <w:pStyle w:val="ListBullet"/>
      </w:pPr>
      <w:r>
        <w:t>رأس مال ≥ 10 ملايين روبل + مساهمة في رأس المال الإضافي/إيرادات الإصدار بعد جولة Seed يضمنان أموالًا خاصة إجمالية ≥ 50 مليون روبل في وقت تقديم الطلب إلى سجل مشغّلي أنظمة معلومات الأصول الرقمية.</w:t>
      </w:r>
    </w:p>
    <w:p>
      <w:pPr>
        <w:pStyle w:val="ListBullet"/>
      </w:pPr>
      <w:r>
        <w:t>في الجولات اللاحقة — إصدار أسهم ممتازة بحقوق خاصة (الحماية من تخفيف الرقابة).</w:t>
      </w:r>
    </w:p>
    <w:p>
      <w:pPr>
        <w:pStyle w:val="Heading3"/>
      </w:pPr>
      <w:r>
        <w:t>1.3. المسؤولون (المطابقة لـ779-P)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المنصب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متطلب 779-P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موعد التعيين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المدير العام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تعليم عالٍ اقتصادي/قانوني؛ ≥ 3 سنوات خبرة في المناصب القيادية بالقطاع المالي؛ مطابقة التأهيل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 بعد التأسيس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رئيس مجلس الإدارة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مستقل؛ سمعة مُؤكَّدة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رئيس الامتثال (HOC)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شهادة ICA / IRM / ACAMS أو ما يعادلها؛ ≥ 5 سنوات خبرة في AML/KYC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رئيس أمن المعلومات (CISO)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شهادة FSTEC؛ ≥ 5 سنوات خبرة على CII-1 / UZ-1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المستشار القانوني الرئيس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تخصص في 259-FZ / 779-P / 152-FZ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رئيس المخاطر (CRO)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FRM / PRM أو ما يعادلها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المدقّق الداخلي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عضو في منظمة تنظيم ذاتي للمدققين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كبير المحاسبين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المطابقة للمادة 7 من القانون الفيدرالي رقم 402-FZ «بشأن المحاسبة»، متطلبات المادة 11.1 من 86-FZ على مسؤولي البنية المالية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</w:t>
            </w:r>
          </w:p>
        </w:tc>
      </w:tr>
    </w:tbl>
    <w:p/>
    <w:p>
      <w:pPr>
        <w:pStyle w:val="Heading3"/>
      </w:pPr>
      <w:r>
        <w:t>1.4. الوثائق التأسيسية</w:t>
      </w:r>
    </w:p>
    <w:p>
      <w:pPr>
        <w:jc w:val="both"/>
      </w:pPr>
      <w:r>
        <w:t>في إطار التأسيس تُحضَّر الحزمة:</w:t>
      </w:r>
    </w:p>
    <w:p>
      <w:pPr>
        <w:pStyle w:val="ListNumber"/>
      </w:pPr>
      <w:r>
        <w:rPr>
          <w:b/>
        </w:rPr>
        <w:t>النظام الأساسي لشركة المساهمة «المنصة الرقمية ج.س.ف.س.ر»</w:t>
      </w:r>
      <w:r>
        <w:t xml:space="preserve"> (على أساس النظام الأساسي النموذجي، مع أحكام خاصة وفق 779-P).</w:t>
      </w:r>
    </w:p>
    <w:p>
      <w:pPr>
        <w:pStyle w:val="ListNumber"/>
      </w:pPr>
      <w:r>
        <w:rPr>
          <w:b/>
        </w:rPr>
        <w:t>قرار المؤسس الوحيد</w:t>
      </w:r>
      <w:r>
        <w:t xml:space="preserve"> بإنشاء شركة المساهمة.</w:t>
      </w:r>
    </w:p>
    <w:p>
      <w:pPr>
        <w:pStyle w:val="ListNumber"/>
      </w:pPr>
      <w:r>
        <w:rPr>
          <w:b/>
        </w:rPr>
        <w:t>اتفاقية إنشاء شركة المساهمة</w:t>
      </w:r>
      <w:r>
        <w:t>.</w:t>
      </w:r>
    </w:p>
    <w:p>
      <w:pPr>
        <w:pStyle w:val="ListNumber"/>
      </w:pPr>
      <w:r>
        <w:rPr>
          <w:b/>
        </w:rPr>
        <w:t>طلب التسجيل الحكومي</w:t>
      </w:r>
      <w:r>
        <w:t xml:space="preserve"> (نموذج Р11001) لدى مصلحة الضرائب الفيدرالية.</w:t>
      </w:r>
    </w:p>
    <w:p>
      <w:pPr>
        <w:pStyle w:val="ListNumber"/>
      </w:pPr>
      <w:r>
        <w:rPr>
          <w:b/>
        </w:rPr>
        <w:t>وثيقة دفع رأس المال</w:t>
      </w:r>
      <w:r>
        <w:t xml:space="preserve"> (وقت التأسيس — لا تقلّ عن 50% من رأس المال).</w:t>
      </w:r>
    </w:p>
    <w:p>
      <w:pPr>
        <w:jc w:val="both"/>
      </w:pPr>
      <w:r>
        <w:t xml:space="preserve">إعداد الحزمة — </w:t>
      </w:r>
      <w:r>
        <w:rPr>
          <w:b/>
        </w:rPr>
        <w:t>T+0…T+2 شهر</w:t>
      </w:r>
      <w:r>
        <w:t xml:space="preserve"> من لحظة اتخاذ قرار الإطلاق.</w:t>
      </w:r>
    </w:p>
    <w:p>
      <w:pPr>
        <w:pStyle w:val="Heading3"/>
      </w:pPr>
      <w:r>
        <w:t>1.5. هيكل الملكية (المستهدَف)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المرحلة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المؤسس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المستثمر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رأس المال الحكومي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الإدارة العليا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التأسيس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بعد جولة 1.8 مليار ₽ (25 مليون دولار)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85.8%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9.21%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5.0%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بعد Series A (T+18 شهرًا)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64%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11% (ESOP + جدد)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بعد Series B برأس مال حكومي (T+36 شهرًا)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12%</w:t>
            </w:r>
          </w:p>
        </w:tc>
      </w:tr>
    </w:tbl>
    <w:p/>
    <w:p>
      <w:pPr>
        <w:pStyle w:val="Heading2"/>
      </w:pPr>
      <w:r>
        <w:t>2. التسجيل في السجلات التنظيمية (بالتوازي مع التأسيس)</w:t>
      </w:r>
    </w:p>
    <w:p>
      <w:pPr>
        <w:pStyle w:val="Heading3"/>
      </w:pPr>
      <w:r>
        <w:t>2.1. التسجيل كمشغّل بيانات شخصية (المادة 22 من 152-FZ)</w:t>
      </w:r>
    </w:p>
    <w:p>
      <w:pPr>
        <w:jc w:val="both"/>
      </w:pPr>
      <w:r>
        <w:rPr>
          <w:b/>
        </w:rPr>
        <w:t>الموعد:</w:t>
      </w:r>
      <w:r>
        <w:t xml:space="preserve"> الإخطار إلى Roskomnadzor — </w:t>
      </w:r>
      <w:r>
        <w:rPr>
          <w:b/>
        </w:rPr>
        <w:t>T+0.5 شهر</w:t>
      </w:r>
      <w:r>
        <w:t xml:space="preserve"> (قبل أي معالجة لبيانات المستخدمين الشخصية في تطبيق العرض التوضيحي).</w:t>
      </w:r>
    </w:p>
    <w:p>
      <w:pPr>
        <w:jc w:val="both"/>
      </w:pPr>
      <w:r>
        <w:rPr>
          <w:b/>
        </w:rPr>
        <w:t>تكوين الإخطار:</w:t>
      </w:r>
    </w:p>
    <w:p>
      <w:pPr>
        <w:pStyle w:val="ListBullet"/>
      </w:pPr>
      <w:r>
        <w:t>أغراض معالجة البيانات الشخصية.</w:t>
      </w:r>
    </w:p>
    <w:p>
      <w:pPr>
        <w:pStyle w:val="ListBullet"/>
      </w:pPr>
      <w:r>
        <w:t>فئات البيانات الشخصية (الاسم، رقم INN، رقم SNILS، البيومتريا وفق 572-FZ، بيانات جواز السفر).</w:t>
      </w:r>
    </w:p>
    <w:p>
      <w:pPr>
        <w:pStyle w:val="ListBullet"/>
      </w:pPr>
      <w:r>
        <w:t>فئات أصحاب البيانات الشخصية.</w:t>
      </w:r>
    </w:p>
    <w:p>
      <w:pPr>
        <w:pStyle w:val="ListBullet"/>
      </w:pPr>
      <w:r>
        <w:t>قائمة الإجراءات (الجمع، التسجيل، التنظيم، الحفظ، الاستخدام، النقل، الحذف).</w:t>
      </w:r>
    </w:p>
    <w:p>
      <w:pPr>
        <w:pStyle w:val="ListBullet"/>
      </w:pPr>
      <w:r>
        <w:t>وصف تدابير الحماية (قرار الحكومة رقم 1119، قراري FSTEC رقم 21 / FSB).</w:t>
      </w:r>
    </w:p>
    <w:p>
      <w:pPr>
        <w:pStyle w:val="ListBullet"/>
      </w:pPr>
      <w:r>
        <w:t>معلومات النقل العابر للحدود (غائب).</w:t>
      </w:r>
    </w:p>
    <w:p>
      <w:pPr>
        <w:pStyle w:val="ListBullet"/>
      </w:pPr>
      <w:r>
        <w:t>تاريخ بدء المعالجة.</w:t>
      </w:r>
    </w:p>
    <w:p>
      <w:pPr>
        <w:pStyle w:val="ListBullet"/>
      </w:pPr>
      <w:r>
        <w:t>مدة المعالجة.</w:t>
      </w:r>
    </w:p>
    <w:p>
      <w:pPr>
        <w:jc w:val="both"/>
      </w:pPr>
      <w:r>
        <w:rPr>
          <w:b/>
        </w:rPr>
        <w:t>الوضع بتاريخ 24.05.2026 في تطبيق العرض التوضيحي:</w:t>
      </w:r>
      <w:r>
        <w:t xml:space="preserve"> لا تُجمَع بيانات شخصية فعلية؛ يُقدَّم إخطار RKN بالتزامن مع تسجيل شركة المساهمة لاستبعاد الواقعة المنصوص عليها في المادة 13.11 من قانون المخالفات الإدارية.</w:t>
      </w:r>
    </w:p>
    <w:p>
      <w:pPr>
        <w:pStyle w:val="Heading3"/>
      </w:pPr>
      <w:r>
        <w:t>2.2. التسجيل لدى Rosfinmonitoring (115-FZ)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T+1 شهر.</w:t>
      </w:r>
      <w:r>
        <w:t xml:space="preserve"> تعيين المسؤول الخاص بمكافحة غسل الأموال؛ تطوير قواعد الرقابة الداخلية (PVK)؛ التسجيل في الحساب الشخصي لـRosfinmonitoring.</w:t>
      </w:r>
    </w:p>
    <w:p>
      <w:pPr>
        <w:pStyle w:val="Heading3"/>
      </w:pPr>
      <w:r>
        <w:t>2.3. الطلب إلى سجل مشغّلي نظم معلومات الأصول الرقمية (بنك روسيا، 779-P)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T+3…T+6 شهرًا</w:t>
      </w:r>
      <w:r>
        <w:t xml:space="preserve"> بعد تأسيس شركة المساهمة وتشكيل حزمة الوثائق الكاملة.</w:t>
      </w:r>
    </w:p>
    <w:p>
      <w:pPr>
        <w:jc w:val="both"/>
      </w:pPr>
      <w:r>
        <w:rPr>
          <w:b/>
        </w:rPr>
        <w:t>تكوين الطلب:</w:t>
      </w:r>
    </w:p>
    <w:p>
      <w:pPr>
        <w:pStyle w:val="ListBullet"/>
      </w:pPr>
      <w:r>
        <w:t>الوثائق التأسيسية لشركة المساهمة.</w:t>
      </w:r>
    </w:p>
    <w:p>
      <w:pPr>
        <w:pStyle w:val="ListBullet"/>
      </w:pPr>
      <w:r>
        <w:t>معلومات عن المسؤولين (وفق 779-P).</w:t>
      </w:r>
    </w:p>
    <w:p>
      <w:pPr>
        <w:pStyle w:val="ListBullet"/>
      </w:pPr>
      <w:r>
        <w:t>قواعد نظام المعلومات (المادة 6 من 259-FZ).</w:t>
      </w:r>
    </w:p>
    <w:p>
      <w:pPr>
        <w:pStyle w:val="ListBullet"/>
      </w:pPr>
      <w:r>
        <w:t>وصف بنية DLT (مع مزوّد DLT محدَّد: Masterchain / ما يعادله).</w:t>
      </w:r>
    </w:p>
    <w:p>
      <w:pPr>
        <w:pStyle w:val="ListBullet"/>
      </w:pPr>
      <w:r>
        <w:t>تدابير الحماية وفق GOST R 57580.1 المستوى 4.</w:t>
      </w:r>
    </w:p>
    <w:p>
      <w:pPr>
        <w:pStyle w:val="ListBullet"/>
      </w:pPr>
      <w:r>
        <w:t>تقرير FSTEC / FSB.</w:t>
      </w:r>
    </w:p>
    <w:p>
      <w:pPr>
        <w:pStyle w:val="ListBullet"/>
      </w:pPr>
      <w:r>
        <w:t>تقرير تدقيق أمن معلومات مستقل.</w:t>
      </w:r>
    </w:p>
    <w:p>
      <w:pPr>
        <w:pStyle w:val="ListBullet"/>
      </w:pPr>
      <w:r>
        <w:t>وثائق المطابقة لـ779-P (استمرارية الأعمال، المخاطر التشغيلية 716-P، CIPF).</w:t>
      </w:r>
    </w:p>
    <w:p>
      <w:pPr>
        <w:pStyle w:val="ListBullet"/>
      </w:pPr>
      <w:r>
        <w:t xml:space="preserve">خطة عمل المشغّل (على أساس </w:t>
      </w:r>
      <w:r>
        <w:rPr>
          <w:rFonts w:ascii="Consolas" w:hAnsi="Consolas"/>
          <w:sz w:val="18"/>
        </w:rPr>
        <w:t>04_Бизнес-план/Бизнес-план_ЦП_РСФСР.md</w:t>
      </w:r>
      <w:r>
        <w:t xml:space="preserve"> بعد إعادة الهيكلة).</w:t>
      </w:r>
    </w:p>
    <w:p>
      <w:pPr>
        <w:pStyle w:val="ListBullet"/>
      </w:pPr>
      <w:r>
        <w:t xml:space="preserve">النموذج المالي (على أساس 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 xml:space="preserve"> بعد إعادة الهيكلة).</w:t>
      </w:r>
    </w:p>
    <w:p>
      <w:pPr>
        <w:pStyle w:val="Heading3"/>
      </w:pPr>
      <w:r>
        <w:t>2.4. التصنيف كبنية تحتية معلوماتية حرجة (187-FZ، قرار الحكومة رقم 127)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T+6…T+12 شهرًا</w:t>
      </w:r>
      <w:r>
        <w:t xml:space="preserve"> (بعد التشغيل الفعلي). تقديم طلب التصنيف إلى FSTEC، الفئة المتوقَّعة — </w:t>
      </w:r>
      <w:r>
        <w:rPr>
          <w:b/>
        </w:rPr>
        <w:t>الأولى (هدف هام من أهداف البنية التحتية الحرجة)</w:t>
      </w:r>
      <w:r>
        <w:t>.</w:t>
      </w:r>
    </w:p>
    <w:p>
      <w:pPr>
        <w:pStyle w:val="Heading3"/>
      </w:pPr>
      <w:r>
        <w:t>2.5. اعتماد CIPF (FSB) ووسائل الحماية (FSTEC)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T+9…T+18 شهرًا.</w:t>
      </w:r>
      <w:r>
        <w:t xml:space="preserve"> الحصول على شهادات FSB للـCIPF (CryptoPro / SignalCom / ما يعادلها) وشهادات FSTEC لوسائل حماية المحيط.</w:t>
      </w:r>
    </w:p>
    <w:p>
      <w:pPr>
        <w:pStyle w:val="Heading3"/>
      </w:pPr>
      <w:r>
        <w:t>2.6. طلبات إلى Rospatent لتسجيل برامج الحاسوب (المادة 1262 من القانون المدني)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T+1…T+3 شهر.</w:t>
      </w:r>
      <w:r>
        <w:t xml:space="preserve"> تسجيل أربعة مكوّنات:</w:t>
      </w:r>
    </w:p>
    <w:p>
      <w:pPr>
        <w:pStyle w:val="ListNumber"/>
      </w:pPr>
      <w:r>
        <w:t>تطبيق الجوال (PWA + بناء Capacitor).</w:t>
      </w:r>
    </w:p>
    <w:p>
      <w:pPr>
        <w:pStyle w:val="ListNumber"/>
      </w:pPr>
      <w:r>
        <w:t>الجزء الخادم (backend).</w:t>
      </w:r>
    </w:p>
    <w:p>
      <w:pPr>
        <w:pStyle w:val="ListNumber"/>
      </w:pPr>
      <w:r>
        <w:t>عقدة DLT للمشغّل.</w:t>
      </w:r>
    </w:p>
    <w:p>
      <w:pPr>
        <w:pStyle w:val="ListNumber"/>
      </w:pPr>
      <w:r>
        <w:t>وحدة KYC.</w:t>
      </w:r>
    </w:p>
    <w:p>
      <w:pPr>
        <w:pStyle w:val="Heading3"/>
      </w:pPr>
      <w:r>
        <w:t>2.7. طلب علامة تجارية (المادة 1477 من القانون المدني)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T+1 شهر.</w:t>
      </w:r>
      <w:r>
        <w:t xml:space="preserve"> طلب تسجيل العلامات اللفظية «PN RSFSR» و«RSFSR» في فئات Nice 9 (البرمجيات)، 36 (الخدمات المالية)، 42 (الخدمات العلمية والتقنية).</w:t>
      </w:r>
    </w:p>
    <w:p>
      <w:pPr>
        <w:pStyle w:val="Heading3"/>
      </w:pPr>
      <w:r>
        <w:t>2.8. الاستفسار لوزارة المالية (المادة 34.2 من القانون الضريبي)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T+2 شهر.</w:t>
      </w:r>
      <w:r>
        <w:t xml:space="preserve"> طلب مكتوب لوزارة المالية للحصول على التكييف الضريبي الرسمي:</w:t>
      </w:r>
    </w:p>
    <w:p>
      <w:pPr>
        <w:pStyle w:val="ListBullet"/>
      </w:pPr>
      <w:r>
        <w:t>لمبادلة الأصل الرقمي الأولي بأصل بنيوي (المادة 39 من القانون الضريبي مقابل المادة 282.2)؛</w:t>
      </w:r>
    </w:p>
    <w:p>
      <w:pPr>
        <w:pStyle w:val="ListBullet"/>
      </w:pPr>
      <w:r>
        <w:t>لوضع المشغّل بوصفه وكيلًا ضريبيًا وفق المادتين 226.1 / 214.11 من القانون الضريبي؛</w:t>
      </w:r>
    </w:p>
    <w:p>
      <w:pPr>
        <w:pStyle w:val="ListBullet"/>
      </w:pPr>
      <w:r>
        <w:t>لوضع ضريبة القيمة المضافة لعمليات الأصول الرقمية في الصيغة الجديدة للفقرة الفرعية 12.2 من البند 2 من المادة 149 من القانون الضريبي؛</w:t>
      </w:r>
    </w:p>
    <w:p>
      <w:pPr>
        <w:pStyle w:val="ListBullet"/>
      </w:pPr>
      <w:r>
        <w:t>لوضع التعريف المُبسَّط للعمليات وفق الجزء 1.4-2 من المادة 7 من 115-FZ.</w:t>
      </w:r>
    </w:p>
    <w:p>
      <w:pPr>
        <w:pStyle w:val="Heading3"/>
      </w:pPr>
      <w:r>
        <w:t>2.9. الطلب إلى النظام القانوني التجريبي (258-FZ)</w:t>
      </w:r>
    </w:p>
    <w:p>
      <w:pPr>
        <w:jc w:val="both"/>
      </w:pPr>
      <w:r>
        <w:rPr>
          <w:b/>
        </w:rPr>
        <w:t>الموعد:</w:t>
      </w:r>
      <w:r>
        <w:t xml:space="preserve"> </w:t>
      </w:r>
      <w:r>
        <w:rPr>
          <w:b/>
        </w:rPr>
        <w:t>T+3 شهر.</w:t>
      </w:r>
      <w:r>
        <w:t xml:space="preserve"> الطلب إلى إدارة التكنولوجيا المالية في بنك روسيا لإجراء pilot-light (انظر </w:t>
      </w:r>
      <w:r>
        <w:rPr>
          <w:rFonts w:ascii="Consolas" w:hAnsi="Consolas"/>
          <w:sz w:val="18"/>
        </w:rPr>
        <w:t>04_Бизнес-план/Wedge_pilot-light.md</w:t>
      </w:r>
      <w:r>
        <w:t>) في نظام قانوني تجريبي.</w:t>
      </w:r>
    </w:p>
    <w:p>
      <w:pPr>
        <w:pStyle w:val="Heading2"/>
      </w:pPr>
      <w:r>
        <w:t>3. خارطة الطريق الموحَّدة للتأسيس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الشهر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الإجراء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اتخاذ قرار الإطلاق؛ توزيع المفهوم على المؤسس الوحيد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T+0.5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إخطار RKN بمعالجة البيانات الشخصية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تقديم وثائق تسجيل شركة المساهمة إلى مصلحة الضرائب؛ تعيين المدير العام والمستشار القانوني الرئيس وكبير المحاسبين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طلب علامة تجارية إلى Rospatent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طلبات إلى Rospatent لتسجيل برامج الحاسوب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تعيين CISO ورئيس الامتثال ورئيس مجلس الإدارة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التسجيل لدى Rosfinmonitoring؛ اعتماد PVK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استفسار لوزارة المالية بشأن التكييف الضريبي (المادة 34.2 من القانون الضريبي)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تعيين CRO والمدقق الداخلي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الطلب إلى النظام القانوني التجريبي لبنك روسيا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إعداد حزمة الوثائق للطلب إلى سجل مشغّلي نظم معلومات الأصول الرقمية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تقديم الطلب إلى سجل بنك روسيا لمشغّلي نظم معلومات الأصول الرقمية (779-P)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بدء اعتماد CIPF / وسائل الحماية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التصنيف كبنية تحتية معلوماتية حرجة (بحسب التشغيل)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T+18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الحصول على جميع الشهادات المتخصصة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إطلاق pilot-light بموجب 259-FZ الساري (انظر وثيقة wedge)</w:t>
            </w:r>
          </w:p>
        </w:tc>
      </w:tr>
    </w:tbl>
    <w:p/>
    <w:p>
      <w:pPr>
        <w:pStyle w:val="Heading2"/>
      </w:pPr>
      <w:r>
        <w:t>4. المخاطر القانونية التي تُغلقها هذه الوثيقة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الإشارة الحمراء للتدقيق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الإغلاق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B5</w:t>
            </w:r>
            <w:r>
              <w:rPr>
                <w:sz w:val="17"/>
              </w:rPr>
              <w:t xml:space="preserve"> غياب المشغّل الشخصية الاعتبارية المؤسسي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تأسيس شركة مساهمة برأس مال ≥ 50 مليون روبل؛ خطة تعيين المسؤولين وفق 779-P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B6</w:t>
            </w:r>
            <w:r>
              <w:rPr>
                <w:sz w:val="17"/>
              </w:rPr>
              <w:t xml:space="preserve"> مشغّل البيانات الشخصية غير مسجَّل لدى RKN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إخطار RKN في T+0.5 شهر؛ حتى ذلك الحين لا تُجمَع بيانات شخصية فعلية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B2</w:t>
            </w:r>
            <w:r>
              <w:rPr>
                <w:sz w:val="17"/>
              </w:rPr>
              <w:t xml:space="preserve"> الإعلان عن خدمة مالية غير مرخَّصة في RuStore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نُقل الوصف في RuStore إلى سجل معلوماتي تعريفي؛ أُضيف تنبيه بشأن الوضع القانوني (انظر </w:t>
            </w:r>
            <w:r>
              <w:rPr>
                <w:rFonts w:ascii="Consolas" w:hAnsi="Consolas"/>
                <w:sz w:val="17"/>
              </w:rPr>
              <w:t>09_Мобильное_приложение/Публикация_RuStore/01_Описание_приложения.md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قانوني A1</w:t>
            </w:r>
            <w:r>
              <w:rPr>
                <w:sz w:val="17"/>
              </w:rPr>
              <w:t xml:space="preserve"> الضرائب على مبادلة الأصول الرقمية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استفسار لوزارة المالية وفق المادة 34.2 من القانون الضريبي في T+2 شهر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قانوني A2</w:t>
            </w:r>
            <w:r>
              <w:rPr>
                <w:sz w:val="17"/>
              </w:rPr>
              <w:t xml:space="preserve"> وضع الوكيل الضريبي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ضمن الاستفسار لوزارة المالية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قانوني A5</w:t>
            </w:r>
            <w:r>
              <w:rPr>
                <w:sz w:val="17"/>
              </w:rPr>
              <w:t xml:space="preserve"> تصنيف البنية التحتية الحرجة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التقديم بعد 6 أشهر من التشغيل الفعلي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قانوني A6</w:t>
            </w:r>
            <w:r>
              <w:rPr>
                <w:sz w:val="17"/>
              </w:rPr>
              <w:t xml:space="preserve"> البيئة التجريبية 258-FZ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طلب لإدارة التكنولوجيا المالية في بنك روسيا في T+3 شهر</w:t>
            </w:r>
          </w:p>
        </w:tc>
      </w:tr>
    </w:tbl>
    <w:p/>
    <w:p>
      <w:pPr>
        <w:pStyle w:val="Heading2"/>
      </w:pPr>
      <w:r>
        <w:t>5. المواعيد وتمويل النشاط التنظيمي الأولي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البند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مليون روبل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المواعيد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تأسيس شركة المساهمة (الرسوم الحكومية، المرافقة القانونية، الموثق)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T+0…T+2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طلبات إلى Rospatent (4 برامج حاسوب + علامة تجارية)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إعداد حزمة سجل 779-P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إعداد PVK لـ Rosfinmonitoring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T+1…T+2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إخطار RKN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T+0.5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المرافقة القانونية للتأسيس (مستشار خارجي 9 أشهر)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T+0…T+9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الرأي الضريبي لوزارة المالية (المكوّن القانوني)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شهر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الإجمالي (الحزمة الأولى للنفقات التنظيمية)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24.6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>هذا المبلغ مُدرَج في جولة البدء البالغة 1.8 مليار روبل (25 مليون دولار).</w:t>
      </w:r>
    </w:p>
    <w:p>
      <w:pPr>
        <w:jc w:val="both"/>
      </w:pPr>
      <w:r>
        <w:rPr>
          <w:b/>
        </w:rPr>
        <w:t>تاريخ الإعداد:</w:t>
      </w:r>
      <w:r>
        <w:t xml:space="preserve"> 24.05.2026. </w:t>
      </w:r>
      <w:r>
        <w:rPr>
          <w:b/>
        </w:rPr>
        <w:t>أُعدَّ:</w:t>
      </w:r>
      <w:r>
        <w:t xml:space="preserve"> في إطار تصحيح الإشارات الحمراء للتدقيق الموحَّد؛ SoT موحَّد لكفاف المشروع التنظيمي.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