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التقييم الدولي لمشروع CPFSR</w:t>
      </w:r>
    </w:p>
    <w:p>
      <w:pPr>
        <w:ind w:left="360"/>
      </w:pPr>
      <w:r>
        <w:rPr>
          <w:b/>
          <w:i/>
          <w:color w:val="444444"/>
        </w:rPr>
        <w:t>ملاحظة.</w:t>
      </w:r>
      <w:r>
        <w:rPr>
          <w:i/>
          <w:color w:val="444444"/>
        </w:rPr>
        <w:t xml:space="preserve"> هذه الترجمة تتبع الأصل الروسي. أُعيد احتساب القسم المالي في الأصل بتاريخ 07.09.2026 (النموذج v5)، وقد وُوئمت أرقام هذه الترجمة مع ذلك الاحتساب. وعند أي اختلاف في الصياغة يُعتد بالنسخة الروسية.</w:t>
      </w:r>
    </w:p>
    <w:p>
      <w:pPr>
        <w:jc w:val="both"/>
      </w:pPr>
      <w:r>
        <w:rPr>
          <w:b/>
        </w:rPr>
        <w:t>موضوع التقييم:</w:t>
      </w:r>
      <w:r>
        <w:t xml:space="preserve"> المنصة الرقمية «الخدمة الروسية لتمويل التنمية الاجتماعية» — نظام معلومات لإصدار DFA مستهدفة (مشغّل وفق 779-P) مع قناة أفقية للتمويل المستهدف عبر البنية التحتية المؤسسية لـ VEB.RF / الخزانة الفيدرالية، وبنك روسيا في دور الجهة التنظيمية الإشرافية. يتضمّن تطبيقًا للجوّال مكتملًا، ووثائق تصميم GOST 19، وbuilds للمنصات Android / iOS / Windows، وحزمة نشر RuStore. </w:t>
      </w:r>
      <w:r>
        <w:rPr>
          <w:b/>
        </w:rPr>
        <w:t>صاحب حقوق المعرفة الفنية:</w:t>
      </w:r>
      <w:r>
        <w:t xml:space="preserve"> عبد الحكيم أحمدوفيتش كاغيروف. شهادة الإيداع رقم 4011265 بتاريخ 19.12.2024 — تثبيت تاريخ الأسبقية وتجزئة العمل؛ نظام الحماية: المعرفة الفنية (المادة 1465 من القانون المدني) + البرنامج (المادة 1262 من القانون المدني، تسجيل لدى Rospatent قيد الإنجاز). </w:t>
      </w:r>
      <w:r>
        <w:rPr>
          <w:b/>
        </w:rPr>
        <w:t>تاريخ التقييم:</w:t>
      </w:r>
      <w:r>
        <w:t xml:space="preserve"> نهاية مايو 2026 (لأغراض التفاوض — pre-money، في مرحلة «MVP + الجانب العميل مكتمل»). وأُعيد احتساب القسم المالي بتاريخ 07.09.2026. </w:t>
      </w:r>
      <w:r>
        <w:rPr>
          <w:b/>
        </w:rPr>
        <w:t>معايير التقييم:</w:t>
      </w:r>
      <w:r>
        <w:t xml:space="preserve"> IVS 2025 (International Valuation Standards)، ASA Business Valuation Standards، IFRS 13 (القياس بالقيمة العادلة)، 135-FZ (للتطبيق في الاتحاد الروسي). </w:t>
      </w:r>
      <w:r>
        <w:rPr>
          <w:b/>
        </w:rPr>
        <w:t>النهج:</w:t>
      </w:r>
      <w:r>
        <w:t xml:space="preserve"> تثليث أربع طرق مستقلّة مع تجميع موزون وخصم وحيد (one-stage). </w:t>
      </w:r>
      <w:r>
        <w:rPr>
          <w:b/>
        </w:rPr>
        <w:t>مصدر معطيات السوق:</w:t>
      </w:r>
      <w:r>
        <w:t xml:space="preserve"> </w:t>
      </w:r>
      <w:r>
        <w:rPr>
          <w:rFonts w:ascii="Consolas" w:hAnsi="Consolas"/>
          <w:sz w:val="18"/>
        </w:rPr>
        <w:t>_Мастер/Единые_показатели_v2.md</w:t>
      </w:r>
      <w:r>
        <w:t xml:space="preserve"> (المؤشرات v5: سعر بنك روسيا الرئيس 14.0 %، FX 71.55 ₽/$، ERP RF 8.13 %) — المصدر الوحيد للحقيقة لجميع وثائق المشروع. وتقرير التقييم الرسمي هو </w:t>
      </w:r>
      <w:r>
        <w:rPr>
          <w:rFonts w:ascii="Consolas" w:hAnsi="Consolas"/>
          <w:sz w:val="18"/>
        </w:rPr>
        <w:t>DPFSR.RU_PRICE/Отчёт_об_оценке_ЦПФСР_2026-05-26</w:t>
      </w:r>
      <w:r>
        <w:t>؛ وكلاهما ناتج عن آلة حسابية واحدة.</w:t>
      </w:r>
    </w:p>
    <w:p>
      <w:pPr>
        <w:pStyle w:val="Heading2"/>
      </w:pPr>
      <w:r>
        <w:t>1. ملخّص التقييم</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الطريقة</w:t>
            </w:r>
          </w:p>
        </w:tc>
        <w:tc>
          <w:tcPr>
            <w:tcW w:type="dxa" w:w="2160"/>
          </w:tcPr>
          <w:p>
            <w:r>
              <w:rPr>
                <w:b/>
                <w:sz w:val="17"/>
              </w:rPr>
            </w:r>
            <w:r>
              <w:rPr>
                <w:b/>
                <w:sz w:val="17"/>
              </w:rPr>
              <w:t>Pre-money، USD</w:t>
            </w:r>
          </w:p>
        </w:tc>
        <w:tc>
          <w:tcPr>
            <w:tcW w:type="dxa" w:w="2160"/>
          </w:tcPr>
          <w:p>
            <w:r>
              <w:rPr>
                <w:b/>
                <w:sz w:val="17"/>
              </w:rPr>
            </w:r>
            <w:r>
              <w:rPr>
                <w:b/>
                <w:sz w:val="17"/>
              </w:rPr>
              <w:t>Pre-money، RUB</w:t>
            </w:r>
          </w:p>
        </w:tc>
        <w:tc>
          <w:tcPr>
            <w:tcW w:type="dxa" w:w="2160"/>
          </w:tcPr>
          <w:p>
            <w:r>
              <w:rPr>
                <w:b/>
                <w:sz w:val="17"/>
              </w:rPr>
            </w:r>
            <w:r>
              <w:rPr>
                <w:b/>
                <w:sz w:val="17"/>
              </w:rPr>
              <w:t>الوزن</w:t>
            </w:r>
          </w:p>
        </w:tc>
      </w:tr>
      <w:tr>
        <w:tc>
          <w:tcPr>
            <w:tcW w:type="dxa" w:w="2160"/>
          </w:tcPr>
          <w:p>
            <w:r>
              <w:rPr>
                <w:sz w:val="17"/>
              </w:rPr>
            </w:r>
            <w:r>
              <w:rPr>
                <w:b/>
                <w:sz w:val="17"/>
              </w:rPr>
              <w:t>مدخل الدخل (DCF، قيمة نهائية بطريقة غوردون)</w:t>
            </w:r>
          </w:p>
        </w:tc>
        <w:tc>
          <w:tcPr>
            <w:tcW w:type="dxa" w:w="2160"/>
          </w:tcPr>
          <w:p>
            <w:r>
              <w:rPr>
                <w:sz w:val="17"/>
              </w:rPr>
            </w:r>
            <w:r>
              <w:rPr>
                <w:sz w:val="17"/>
              </w:rPr>
              <w:t>352 مليون $</w:t>
            </w:r>
          </w:p>
        </w:tc>
        <w:tc>
          <w:tcPr>
            <w:tcW w:type="dxa" w:w="2160"/>
          </w:tcPr>
          <w:p>
            <w:r>
              <w:rPr>
                <w:sz w:val="17"/>
              </w:rPr>
            </w:r>
            <w:r>
              <w:rPr>
                <w:sz w:val="17"/>
              </w:rPr>
              <w:t>25.19 مليار ₽</w:t>
            </w:r>
          </w:p>
        </w:tc>
        <w:tc>
          <w:tcPr>
            <w:tcW w:type="dxa" w:w="2160"/>
          </w:tcPr>
          <w:p>
            <w:r>
              <w:rPr>
                <w:sz w:val="17"/>
              </w:rPr>
            </w:r>
            <w:r>
              <w:rPr>
                <w:sz w:val="17"/>
              </w:rPr>
              <w:t>35%</w:t>
            </w:r>
          </w:p>
        </w:tc>
      </w:tr>
      <w:tr>
        <w:tc>
          <w:tcPr>
            <w:tcW w:type="dxa" w:w="2160"/>
          </w:tcPr>
          <w:p>
            <w:r>
              <w:rPr>
                <w:sz w:val="17"/>
              </w:rPr>
            </w:r>
            <w:r>
              <w:rPr>
                <w:b/>
                <w:sz w:val="17"/>
              </w:rPr>
              <w:t>Comparable Multiples</w:t>
            </w:r>
          </w:p>
        </w:tc>
        <w:tc>
          <w:tcPr>
            <w:tcW w:type="dxa" w:w="2160"/>
          </w:tcPr>
          <w:p>
            <w:r>
              <w:rPr>
                <w:sz w:val="17"/>
              </w:rPr>
            </w:r>
            <w:r>
              <w:rPr>
                <w:sz w:val="17"/>
              </w:rPr>
              <w:t>380 مليون $</w:t>
            </w:r>
          </w:p>
        </w:tc>
        <w:tc>
          <w:tcPr>
            <w:tcW w:type="dxa" w:w="2160"/>
          </w:tcPr>
          <w:p>
            <w:r>
              <w:rPr>
                <w:sz w:val="17"/>
              </w:rPr>
            </w:r>
            <w:r>
              <w:rPr>
                <w:sz w:val="17"/>
              </w:rPr>
              <w:t>27.2 مليار ₽</w:t>
            </w:r>
          </w:p>
        </w:tc>
        <w:tc>
          <w:tcPr>
            <w:tcW w:type="dxa" w:w="2160"/>
          </w:tcPr>
          <w:p>
            <w:r>
              <w:rPr>
                <w:sz w:val="17"/>
              </w:rPr>
            </w:r>
            <w:r>
              <w:rPr>
                <w:sz w:val="17"/>
              </w:rPr>
              <w:t>30%</w:t>
            </w:r>
          </w:p>
        </w:tc>
      </w:tr>
      <w:tr>
        <w:tc>
          <w:tcPr>
            <w:tcW w:type="dxa" w:w="2160"/>
          </w:tcPr>
          <w:p>
            <w:r>
              <w:rPr>
                <w:sz w:val="17"/>
              </w:rPr>
            </w:r>
            <w:r>
              <w:rPr>
                <w:b/>
                <w:sz w:val="17"/>
              </w:rPr>
              <w:t>Berkus / Risk-Adjusted</w:t>
            </w:r>
          </w:p>
        </w:tc>
        <w:tc>
          <w:tcPr>
            <w:tcW w:type="dxa" w:w="2160"/>
          </w:tcPr>
          <w:p>
            <w:r>
              <w:rPr>
                <w:sz w:val="17"/>
              </w:rPr>
            </w:r>
            <w:r>
              <w:rPr>
                <w:sz w:val="17"/>
              </w:rPr>
              <w:t>35 مليون $</w:t>
            </w:r>
          </w:p>
        </w:tc>
        <w:tc>
          <w:tcPr>
            <w:tcW w:type="dxa" w:w="2160"/>
          </w:tcPr>
          <w:p>
            <w:r>
              <w:rPr>
                <w:sz w:val="17"/>
              </w:rPr>
            </w:r>
            <w:r>
              <w:rPr>
                <w:sz w:val="17"/>
              </w:rPr>
              <w:t>2.5 مليار ₽</w:t>
            </w:r>
          </w:p>
        </w:tc>
        <w:tc>
          <w:tcPr>
            <w:tcW w:type="dxa" w:w="2160"/>
          </w:tcPr>
          <w:p>
            <w:r>
              <w:rPr>
                <w:sz w:val="17"/>
              </w:rPr>
            </w:r>
            <w:r>
              <w:rPr>
                <w:sz w:val="17"/>
              </w:rPr>
              <w:t>25%</w:t>
            </w:r>
          </w:p>
        </w:tc>
      </w:tr>
      <w:tr>
        <w:tc>
          <w:tcPr>
            <w:tcW w:type="dxa" w:w="2160"/>
          </w:tcPr>
          <w:p>
            <w:r>
              <w:rPr>
                <w:sz w:val="17"/>
              </w:rPr>
            </w:r>
            <w:r>
              <w:rPr>
                <w:b/>
                <w:sz w:val="17"/>
              </w:rPr>
              <w:t>Asset / Replacement-Cost</w:t>
            </w:r>
          </w:p>
        </w:tc>
        <w:tc>
          <w:tcPr>
            <w:tcW w:type="dxa" w:w="2160"/>
          </w:tcPr>
          <w:p>
            <w:r>
              <w:rPr>
                <w:sz w:val="17"/>
              </w:rPr>
            </w:r>
            <w:r>
              <w:rPr>
                <w:sz w:val="17"/>
              </w:rPr>
              <w:t>20 مليون $</w:t>
            </w:r>
          </w:p>
        </w:tc>
        <w:tc>
          <w:tcPr>
            <w:tcW w:type="dxa" w:w="2160"/>
          </w:tcPr>
          <w:p>
            <w:r>
              <w:rPr>
                <w:sz w:val="17"/>
              </w:rPr>
            </w:r>
            <w:r>
              <w:rPr>
                <w:sz w:val="17"/>
              </w:rPr>
              <w:t>1.43 مليار ₽</w:t>
            </w:r>
          </w:p>
        </w:tc>
        <w:tc>
          <w:tcPr>
            <w:tcW w:type="dxa" w:w="2160"/>
          </w:tcPr>
          <w:p>
            <w:r>
              <w:rPr>
                <w:sz w:val="17"/>
              </w:rPr>
            </w:r>
            <w:r>
              <w:rPr>
                <w:sz w:val="17"/>
              </w:rPr>
              <w:t>10%</w:t>
            </w:r>
          </w:p>
        </w:tc>
      </w:tr>
      <w:tr>
        <w:tc>
          <w:tcPr>
            <w:tcW w:type="dxa" w:w="2160"/>
          </w:tcPr>
          <w:p>
            <w:r>
              <w:rPr>
                <w:sz w:val="17"/>
              </w:rPr>
            </w:r>
            <w:r>
              <w:rPr>
                <w:b/>
                <w:sz w:val="17"/>
              </w:rPr>
              <w:t>قيمة الدخول المحسوبة (خصم المرحلة مطبَّق مرة واحدة)</w:t>
            </w:r>
          </w:p>
        </w:tc>
        <w:tc>
          <w:tcPr>
            <w:tcW w:type="dxa" w:w="2160"/>
          </w:tcPr>
          <w:p>
            <w:r>
              <w:rPr>
                <w:sz w:val="17"/>
              </w:rPr>
            </w:r>
            <w:r>
              <w:rPr>
                <w:b/>
                <w:sz w:val="17"/>
              </w:rPr>
              <w:t>164–301 مليون $</w:t>
            </w:r>
          </w:p>
        </w:tc>
        <w:tc>
          <w:tcPr>
            <w:tcW w:type="dxa" w:w="2160"/>
          </w:tcPr>
          <w:p>
            <w:r>
              <w:rPr>
                <w:sz w:val="17"/>
              </w:rPr>
            </w:r>
            <w:r>
              <w:rPr>
                <w:b/>
                <w:sz w:val="17"/>
              </w:rPr>
              <w:t>11.74–21.56 مليار ₽</w:t>
            </w:r>
          </w:p>
        </w:tc>
        <w:tc>
          <w:tcPr>
            <w:tcW w:type="dxa" w:w="2160"/>
          </w:tcPr>
          <w:p>
            <w:r>
              <w:rPr>
                <w:sz w:val="17"/>
              </w:rPr>
            </w:r>
            <w:r>
              <w:rPr>
                <w:sz w:val="17"/>
              </w:rPr>
              <w:t>—</w:t>
            </w:r>
          </w:p>
        </w:tc>
      </w:tr>
    </w:tbl>
    <w:p/>
    <w:p>
      <w:pPr>
        <w:ind w:left="360"/>
      </w:pPr>
      <w:r>
        <w:rPr>
          <w:b/>
          <w:i/>
          <w:color w:val="444444"/>
        </w:rPr>
        <w:t>التغييرات مقارنةً بالنسخة السابقة (بعد التدقيق الموحَّد في 24.05.2026):</w:t>
      </w:r>
      <w:r>
        <w:rPr>
          <w:i/>
          <w:color w:val="444444"/>
        </w:rPr>
        <w:t xml:space="preserve"> - أُزيل double-discount 0.2295 — يُطبَّق خصم stage وحيد بنسبة 60 % فوق EV الموزون. - أُعيد بناء النموذج المالي؛ وأُزيح الأفق إلى 2027–2036. وأصبح إجمالي الإيرادات مجموع بنوده؛ وأُخرجت خدمات التقييم والتأمين العابرة من الإيراد. - رُفع معدل ضريبة الأرباح إلى المعدل الساري — 25 % (القانون الاتحادي 176-FZ بتاريخ 12.07.2024). - رُفع Berkus من 27 مليون $ إلى 35 مليون $ — يحصل عامل «Product rollout» على نقاط إضافية بفضل حزمة builds كاملة ومواد النشر. - رُفع Asset من 14 مليون $ إلى 18 مليون $ — أُضيفت وثائق التصميم وbuilds إلى قيمة الاستبدال. - يُطبَّق خصم المرحلة البالغ 60 % مرة واحدة؛ وفي الإصدار السابق طُبِّق مرتين، فبُخست قيمة الدخول نحو النصف. ويعطي مدخل الدخل 352 مليون $ (قيمة المشروع 62.97 مليار ₽ × 0.40 عند سعر 71.55). والنطاق المحسوب لقيمة الدخول حسب السيناريوهات 164–301 مليون $.</w:t>
      </w:r>
    </w:p>
    <w:p>
      <w:pPr>
        <w:jc w:val="both"/>
      </w:pPr>
      <w:r>
        <w:rPr>
          <w:b/>
        </w:rPr>
        <w:t>الموقف المحسوب (السيناريو الأساسي):</w:t>
      </w:r>
    </w:p>
    <w:p>
      <w:pPr>
        <w:pStyle w:val="ListBullet"/>
      </w:pPr>
      <w:r>
        <w:t xml:space="preserve">Pre-money — </w:t>
      </w:r>
      <w:r>
        <w:rPr>
          <w:b/>
        </w:rPr>
        <w:t>248 مليون $ (17.74 مليار ₽)</w:t>
      </w:r>
      <w:r>
        <w:t>.</w:t>
      </w:r>
    </w:p>
    <w:p>
      <w:pPr>
        <w:pStyle w:val="ListBullet"/>
      </w:pPr>
      <w:r>
        <w:t xml:space="preserve">Post-money — </w:t>
      </w:r>
      <w:r>
        <w:rPr>
          <w:b/>
        </w:rPr>
        <w:t>273 مليون $ (19.54 مليار ₽)</w:t>
      </w:r>
      <w:r>
        <w:t xml:space="preserve"> عند جولة أولى </w:t>
      </w:r>
      <w:r>
        <w:rPr>
          <w:b/>
        </w:rPr>
        <w:t>25 مليون $ (1.8 مليار ₽)</w:t>
      </w:r>
      <w:r>
        <w:t>.</w:t>
      </w:r>
    </w:p>
    <w:p>
      <w:pPr>
        <w:pStyle w:val="ListBullet"/>
      </w:pPr>
      <w:r>
        <w:t xml:space="preserve">حصة المستثمر — </w:t>
      </w:r>
      <w:r>
        <w:rPr>
          <w:b/>
        </w:rPr>
        <w:t>9.21 %</w:t>
      </w:r>
      <w:r>
        <w:t>.</w:t>
      </w:r>
    </w:p>
    <w:p>
      <w:pPr>
        <w:ind w:left="360"/>
      </w:pPr>
      <w:r>
        <w:rPr>
          <w:i/>
          <w:color w:val="444444"/>
        </w:rPr>
        <w:t>الفارق بين مداخل التقييم اثنا عشر ضعفًا: فمداخل المرحلة المبكرة تعطي 20–35 مليون $، ومدخل الدخل 352 مليون $. والقيمة المحسوبة هي الحد الأعلى لما يمكن تبريره لا سعرًا سوقيًّا. وقرار سعر التفاوض يعود إلى مالك المشروع.</w:t>
      </w:r>
    </w:p>
    <w:p>
      <w:pPr>
        <w:pStyle w:val="ListBullet"/>
      </w:pPr>
      <w:r>
        <w:t xml:space="preserve">FX مُثبَّت في 24.05.2026: </w:t>
      </w:r>
      <w:r>
        <w:rPr>
          <w:b/>
        </w:rPr>
        <w:t>71.55 ₽/$</w:t>
      </w:r>
      <w:r>
        <w:t>.</w:t>
      </w:r>
    </w:p>
    <w:p>
      <w:pPr>
        <w:pStyle w:val="Heading2"/>
      </w:pPr>
      <w:r>
        <w:t>2. منهجية DCF (نهج الدخل)</w:t>
      </w:r>
    </w:p>
    <w:p>
      <w:pPr>
        <w:pStyle w:val="Heading3"/>
      </w:pPr>
      <w:r>
        <w:t>2.1. مصدر التدفقات النقدية</w:t>
      </w:r>
    </w:p>
    <w:p>
      <w:pPr>
        <w:jc w:val="both"/>
      </w:pPr>
      <w:r>
        <w:t>التدفقات النقدية من تشغيل المنصة على أفق 2027–2036 مأخوذة من النموذج المالي المُعاد حسابه (</w:t>
      </w:r>
      <w:r>
        <w:rPr>
          <w:rFonts w:ascii="Consolas" w:hAnsi="Consolas"/>
          <w:sz w:val="18"/>
        </w:rPr>
        <w:t>03_Финансовая_модель/Модель</w:t>
      </w:r>
      <w:r>
        <w:t>). والتدفقات مقوَّمة بالروبل.</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r>
            <w:r>
              <w:rPr>
                <w:b/>
                <w:sz w:val="17"/>
              </w:rPr>
              <w:t>السنة</w:t>
            </w:r>
          </w:p>
        </w:tc>
        <w:tc>
          <w:tcPr>
            <w:tcW w:type="dxa" w:w="1234"/>
          </w:tcPr>
          <w:p>
            <w:r>
              <w:rPr>
                <w:b/>
                <w:sz w:val="17"/>
              </w:rPr>
            </w:r>
            <w:r>
              <w:rPr>
                <w:b/>
                <w:sz w:val="17"/>
              </w:rPr>
              <w:t>الإيراد، مليار ₽</w:t>
            </w:r>
          </w:p>
        </w:tc>
        <w:tc>
          <w:tcPr>
            <w:tcW w:type="dxa" w:w="1234"/>
          </w:tcPr>
          <w:p>
            <w:r>
              <w:rPr>
                <w:b/>
                <w:sz w:val="17"/>
              </w:rPr>
            </w:r>
            <w:r>
              <w:rPr>
                <w:b/>
                <w:sz w:val="17"/>
              </w:rPr>
              <w:t>OpEx، مليار ₽</w:t>
            </w:r>
          </w:p>
        </w:tc>
        <w:tc>
          <w:tcPr>
            <w:tcW w:type="dxa" w:w="1234"/>
          </w:tcPr>
          <w:p>
            <w:r>
              <w:rPr>
                <w:b/>
                <w:sz w:val="17"/>
              </w:rPr>
            </w:r>
            <w:r>
              <w:rPr>
                <w:b/>
                <w:sz w:val="17"/>
              </w:rPr>
              <w:t>EBITDA، مليار ₽</w:t>
            </w:r>
          </w:p>
        </w:tc>
        <w:tc>
          <w:tcPr>
            <w:tcW w:type="dxa" w:w="1234"/>
          </w:tcPr>
          <w:p>
            <w:r>
              <w:rPr>
                <w:b/>
                <w:sz w:val="17"/>
              </w:rPr>
            </w:r>
            <w:r>
              <w:rPr>
                <w:b/>
                <w:sz w:val="17"/>
              </w:rPr>
              <w:t>هامش EBITDA</w:t>
            </w:r>
          </w:p>
        </w:tc>
        <w:tc>
          <w:tcPr>
            <w:tcW w:type="dxa" w:w="1234"/>
          </w:tcPr>
          <w:p>
            <w:r>
              <w:rPr>
                <w:b/>
                <w:sz w:val="17"/>
              </w:rPr>
            </w:r>
            <w:r>
              <w:rPr>
                <w:b/>
                <w:sz w:val="17"/>
              </w:rPr>
              <w:t>CapEx، مليار ₽</w:t>
            </w:r>
          </w:p>
        </w:tc>
        <w:tc>
          <w:tcPr>
            <w:tcW w:type="dxa" w:w="1234"/>
          </w:tcPr>
          <w:p>
            <w:r>
              <w:rPr>
                <w:b/>
                <w:sz w:val="17"/>
              </w:rPr>
            </w:r>
            <w:r>
              <w:rPr>
                <w:b/>
                <w:sz w:val="17"/>
              </w:rPr>
              <w:t>FCF، مليار ₽</w:t>
            </w:r>
          </w:p>
        </w:tc>
      </w:tr>
      <w:tr>
        <w:tc>
          <w:tcPr>
            <w:tcW w:type="dxa" w:w="1234"/>
          </w:tcPr>
          <w:p>
            <w:r>
              <w:rPr>
                <w:sz w:val="17"/>
              </w:rPr>
            </w:r>
            <w:r>
              <w:rPr>
                <w:sz w:val="17"/>
              </w:rPr>
              <w:t>2027</w:t>
            </w:r>
          </w:p>
        </w:tc>
        <w:tc>
          <w:tcPr>
            <w:tcW w:type="dxa" w:w="1234"/>
          </w:tcPr>
          <w:p>
            <w:r>
              <w:rPr>
                <w:sz w:val="17"/>
              </w:rPr>
            </w:r>
            <w:r>
              <w:rPr>
                <w:sz w:val="17"/>
              </w:rPr>
              <w:t>0.00</w:t>
            </w:r>
          </w:p>
        </w:tc>
        <w:tc>
          <w:tcPr>
            <w:tcW w:type="dxa" w:w="1234"/>
          </w:tcPr>
          <w:p>
            <w:r>
              <w:rPr>
                <w:sz w:val="17"/>
              </w:rPr>
            </w:r>
            <w:r>
              <w:rPr>
                <w:sz w:val="17"/>
              </w:rPr>
              <w:t>0.72</w:t>
            </w:r>
          </w:p>
        </w:tc>
        <w:tc>
          <w:tcPr>
            <w:tcW w:type="dxa" w:w="1234"/>
          </w:tcPr>
          <w:p>
            <w:r>
              <w:rPr>
                <w:sz w:val="17"/>
              </w:rPr>
            </w:r>
            <w:r>
              <w:rPr>
                <w:sz w:val="17"/>
              </w:rPr>
              <w:t>−0.72</w:t>
            </w:r>
          </w:p>
        </w:tc>
        <w:tc>
          <w:tcPr>
            <w:tcW w:type="dxa" w:w="1234"/>
          </w:tcPr>
          <w:p>
            <w:r>
              <w:rPr>
                <w:sz w:val="17"/>
              </w:rPr>
            </w:r>
            <w:r>
              <w:rPr>
                <w:sz w:val="17"/>
              </w:rPr>
              <w:t>—</w:t>
            </w:r>
          </w:p>
        </w:tc>
        <w:tc>
          <w:tcPr>
            <w:tcW w:type="dxa" w:w="1234"/>
          </w:tcPr>
          <w:p>
            <w:r>
              <w:rPr>
                <w:sz w:val="17"/>
              </w:rPr>
            </w:r>
            <w:r>
              <w:rPr>
                <w:sz w:val="17"/>
              </w:rPr>
              <w:t>0.30</w:t>
            </w:r>
          </w:p>
        </w:tc>
        <w:tc>
          <w:tcPr>
            <w:tcW w:type="dxa" w:w="1234"/>
          </w:tcPr>
          <w:p>
            <w:r>
              <w:rPr>
                <w:sz w:val="17"/>
              </w:rPr>
            </w:r>
            <w:r>
              <w:rPr>
                <w:sz w:val="17"/>
              </w:rPr>
              <w:t>−1.02</w:t>
            </w:r>
          </w:p>
        </w:tc>
      </w:tr>
      <w:tr>
        <w:tc>
          <w:tcPr>
            <w:tcW w:type="dxa" w:w="1234"/>
          </w:tcPr>
          <w:p>
            <w:r>
              <w:rPr>
                <w:sz w:val="17"/>
              </w:rPr>
            </w:r>
            <w:r>
              <w:rPr>
                <w:sz w:val="17"/>
              </w:rPr>
              <w:t>2028</w:t>
            </w:r>
          </w:p>
        </w:tc>
        <w:tc>
          <w:tcPr>
            <w:tcW w:type="dxa" w:w="1234"/>
          </w:tcPr>
          <w:p>
            <w:r>
              <w:rPr>
                <w:sz w:val="17"/>
              </w:rPr>
            </w:r>
            <w:r>
              <w:rPr>
                <w:sz w:val="17"/>
              </w:rPr>
              <w:t>1.31</w:t>
            </w:r>
          </w:p>
        </w:tc>
        <w:tc>
          <w:tcPr>
            <w:tcW w:type="dxa" w:w="1234"/>
          </w:tcPr>
          <w:p>
            <w:r>
              <w:rPr>
                <w:sz w:val="17"/>
              </w:rPr>
            </w:r>
            <w:r>
              <w:rPr>
                <w:sz w:val="17"/>
              </w:rPr>
              <w:t>1.50</w:t>
            </w:r>
          </w:p>
        </w:tc>
        <w:tc>
          <w:tcPr>
            <w:tcW w:type="dxa" w:w="1234"/>
          </w:tcPr>
          <w:p>
            <w:r>
              <w:rPr>
                <w:sz w:val="17"/>
              </w:rPr>
            </w:r>
            <w:r>
              <w:rPr>
                <w:sz w:val="17"/>
              </w:rPr>
              <w:t>−0.19</w:t>
            </w:r>
          </w:p>
        </w:tc>
        <w:tc>
          <w:tcPr>
            <w:tcW w:type="dxa" w:w="1234"/>
          </w:tcPr>
          <w:p>
            <w:r>
              <w:rPr>
                <w:sz w:val="17"/>
              </w:rPr>
            </w:r>
            <w:r>
              <w:rPr>
                <w:sz w:val="17"/>
              </w:rPr>
              <w:t>—</w:t>
            </w:r>
          </w:p>
        </w:tc>
        <w:tc>
          <w:tcPr>
            <w:tcW w:type="dxa" w:w="1234"/>
          </w:tcPr>
          <w:p>
            <w:r>
              <w:rPr>
                <w:sz w:val="17"/>
              </w:rPr>
            </w:r>
            <w:r>
              <w:rPr>
                <w:sz w:val="17"/>
              </w:rPr>
              <w:t>0.42</w:t>
            </w:r>
          </w:p>
        </w:tc>
        <w:tc>
          <w:tcPr>
            <w:tcW w:type="dxa" w:w="1234"/>
          </w:tcPr>
          <w:p>
            <w:r>
              <w:rPr>
                <w:sz w:val="17"/>
              </w:rPr>
            </w:r>
            <w:r>
              <w:rPr>
                <w:sz w:val="17"/>
              </w:rPr>
              <w:t>−0.68</w:t>
            </w:r>
          </w:p>
        </w:tc>
      </w:tr>
      <w:tr>
        <w:tc>
          <w:tcPr>
            <w:tcW w:type="dxa" w:w="1234"/>
          </w:tcPr>
          <w:p>
            <w:r>
              <w:rPr>
                <w:sz w:val="17"/>
              </w:rPr>
            </w:r>
            <w:r>
              <w:rPr>
                <w:sz w:val="17"/>
              </w:rPr>
              <w:t>2029</w:t>
            </w:r>
          </w:p>
        </w:tc>
        <w:tc>
          <w:tcPr>
            <w:tcW w:type="dxa" w:w="1234"/>
          </w:tcPr>
          <w:p>
            <w:r>
              <w:rPr>
                <w:sz w:val="17"/>
              </w:rPr>
            </w:r>
            <w:r>
              <w:rPr>
                <w:sz w:val="17"/>
              </w:rPr>
              <w:t>6.52</w:t>
            </w:r>
          </w:p>
        </w:tc>
        <w:tc>
          <w:tcPr>
            <w:tcW w:type="dxa" w:w="1234"/>
          </w:tcPr>
          <w:p>
            <w:r>
              <w:rPr>
                <w:sz w:val="17"/>
              </w:rPr>
            </w:r>
            <w:r>
              <w:rPr>
                <w:sz w:val="17"/>
              </w:rPr>
              <w:t>2.96</w:t>
            </w:r>
          </w:p>
        </w:tc>
        <w:tc>
          <w:tcPr>
            <w:tcW w:type="dxa" w:w="1234"/>
          </w:tcPr>
          <w:p>
            <w:r>
              <w:rPr>
                <w:sz w:val="17"/>
              </w:rPr>
            </w:r>
            <w:r>
              <w:rPr>
                <w:sz w:val="17"/>
              </w:rPr>
              <w:t>3.56</w:t>
            </w:r>
          </w:p>
        </w:tc>
        <w:tc>
          <w:tcPr>
            <w:tcW w:type="dxa" w:w="1234"/>
          </w:tcPr>
          <w:p>
            <w:r>
              <w:rPr>
                <w:sz w:val="17"/>
              </w:rPr>
            </w:r>
            <w:r>
              <w:rPr>
                <w:sz w:val="17"/>
              </w:rPr>
              <w:t>54.6%</w:t>
            </w:r>
          </w:p>
        </w:tc>
        <w:tc>
          <w:tcPr>
            <w:tcW w:type="dxa" w:w="1234"/>
          </w:tcPr>
          <w:p>
            <w:r>
              <w:rPr>
                <w:sz w:val="17"/>
              </w:rPr>
            </w:r>
            <w:r>
              <w:rPr>
                <w:sz w:val="17"/>
              </w:rPr>
              <w:t>0.40</w:t>
            </w:r>
          </w:p>
        </w:tc>
        <w:tc>
          <w:tcPr>
            <w:tcW w:type="dxa" w:w="1234"/>
          </w:tcPr>
          <w:p>
            <w:r>
              <w:rPr>
                <w:sz w:val="17"/>
              </w:rPr>
            </w:r>
            <w:r>
              <w:rPr>
                <w:sz w:val="17"/>
              </w:rPr>
              <w:t>2.31</w:t>
            </w:r>
          </w:p>
        </w:tc>
      </w:tr>
      <w:tr>
        <w:tc>
          <w:tcPr>
            <w:tcW w:type="dxa" w:w="1234"/>
          </w:tcPr>
          <w:p>
            <w:r>
              <w:rPr>
                <w:sz w:val="17"/>
              </w:rPr>
            </w:r>
            <w:r>
              <w:rPr>
                <w:sz w:val="17"/>
              </w:rPr>
              <w:t>2030</w:t>
            </w:r>
          </w:p>
        </w:tc>
        <w:tc>
          <w:tcPr>
            <w:tcW w:type="dxa" w:w="1234"/>
          </w:tcPr>
          <w:p>
            <w:r>
              <w:rPr>
                <w:sz w:val="17"/>
              </w:rPr>
            </w:r>
            <w:r>
              <w:rPr>
                <w:sz w:val="17"/>
              </w:rPr>
              <w:t>17.79</w:t>
            </w:r>
          </w:p>
        </w:tc>
        <w:tc>
          <w:tcPr>
            <w:tcW w:type="dxa" w:w="1234"/>
          </w:tcPr>
          <w:p>
            <w:r>
              <w:rPr>
                <w:sz w:val="17"/>
              </w:rPr>
            </w:r>
            <w:r>
              <w:rPr>
                <w:sz w:val="17"/>
              </w:rPr>
              <w:t>5.78</w:t>
            </w:r>
          </w:p>
        </w:tc>
        <w:tc>
          <w:tcPr>
            <w:tcW w:type="dxa" w:w="1234"/>
          </w:tcPr>
          <w:p>
            <w:r>
              <w:rPr>
                <w:sz w:val="17"/>
              </w:rPr>
            </w:r>
            <w:r>
              <w:rPr>
                <w:sz w:val="17"/>
              </w:rPr>
              <w:t>12.01</w:t>
            </w:r>
          </w:p>
        </w:tc>
        <w:tc>
          <w:tcPr>
            <w:tcW w:type="dxa" w:w="1234"/>
          </w:tcPr>
          <w:p>
            <w:r>
              <w:rPr>
                <w:sz w:val="17"/>
              </w:rPr>
            </w:r>
            <w:r>
              <w:rPr>
                <w:sz w:val="17"/>
              </w:rPr>
              <w:t>67.5%</w:t>
            </w:r>
          </w:p>
        </w:tc>
        <w:tc>
          <w:tcPr>
            <w:tcW w:type="dxa" w:w="1234"/>
          </w:tcPr>
          <w:p>
            <w:r>
              <w:rPr>
                <w:sz w:val="17"/>
              </w:rPr>
            </w:r>
            <w:r>
              <w:rPr>
                <w:sz w:val="17"/>
              </w:rPr>
              <w:t>0.55</w:t>
            </w:r>
          </w:p>
        </w:tc>
        <w:tc>
          <w:tcPr>
            <w:tcW w:type="dxa" w:w="1234"/>
          </w:tcPr>
          <w:p>
            <w:r>
              <w:rPr>
                <w:sz w:val="17"/>
              </w:rPr>
            </w:r>
            <w:r>
              <w:rPr>
                <w:sz w:val="17"/>
              </w:rPr>
              <w:t>7.95</w:t>
            </w:r>
          </w:p>
        </w:tc>
      </w:tr>
      <w:tr>
        <w:tc>
          <w:tcPr>
            <w:tcW w:type="dxa" w:w="1234"/>
          </w:tcPr>
          <w:p>
            <w:r>
              <w:rPr>
                <w:sz w:val="17"/>
              </w:rPr>
            </w:r>
            <w:r>
              <w:rPr>
                <w:sz w:val="17"/>
              </w:rPr>
              <w:t>2031</w:t>
            </w:r>
          </w:p>
        </w:tc>
        <w:tc>
          <w:tcPr>
            <w:tcW w:type="dxa" w:w="1234"/>
          </w:tcPr>
          <w:p>
            <w:r>
              <w:rPr>
                <w:sz w:val="17"/>
              </w:rPr>
            </w:r>
            <w:r>
              <w:rPr>
                <w:sz w:val="17"/>
              </w:rPr>
              <w:t>39.02</w:t>
            </w:r>
          </w:p>
        </w:tc>
        <w:tc>
          <w:tcPr>
            <w:tcW w:type="dxa" w:w="1234"/>
          </w:tcPr>
          <w:p>
            <w:r>
              <w:rPr>
                <w:sz w:val="17"/>
              </w:rPr>
            </w:r>
            <w:r>
              <w:rPr>
                <w:sz w:val="17"/>
              </w:rPr>
              <w:t>10.83</w:t>
            </w:r>
          </w:p>
        </w:tc>
        <w:tc>
          <w:tcPr>
            <w:tcW w:type="dxa" w:w="1234"/>
          </w:tcPr>
          <w:p>
            <w:r>
              <w:rPr>
                <w:sz w:val="17"/>
              </w:rPr>
            </w:r>
            <w:r>
              <w:rPr>
                <w:sz w:val="17"/>
              </w:rPr>
              <w:t>28.19</w:t>
            </w:r>
          </w:p>
        </w:tc>
        <w:tc>
          <w:tcPr>
            <w:tcW w:type="dxa" w:w="1234"/>
          </w:tcPr>
          <w:p>
            <w:r>
              <w:rPr>
                <w:sz w:val="17"/>
              </w:rPr>
            </w:r>
            <w:r>
              <w:rPr>
                <w:sz w:val="17"/>
              </w:rPr>
              <w:t>72.3%</w:t>
            </w:r>
          </w:p>
        </w:tc>
        <w:tc>
          <w:tcPr>
            <w:tcW w:type="dxa" w:w="1234"/>
          </w:tcPr>
          <w:p>
            <w:r>
              <w:rPr>
                <w:sz w:val="17"/>
              </w:rPr>
            </w:r>
            <w:r>
              <w:rPr>
                <w:sz w:val="17"/>
              </w:rPr>
              <w:t>1.80</w:t>
            </w:r>
          </w:p>
        </w:tc>
        <w:tc>
          <w:tcPr>
            <w:tcW w:type="dxa" w:w="1234"/>
          </w:tcPr>
          <w:p>
            <w:r>
              <w:rPr>
                <w:sz w:val="17"/>
              </w:rPr>
            </w:r>
            <w:r>
              <w:rPr>
                <w:sz w:val="17"/>
              </w:rPr>
              <w:t>18.41</w:t>
            </w:r>
          </w:p>
        </w:tc>
      </w:tr>
      <w:tr>
        <w:tc>
          <w:tcPr>
            <w:tcW w:type="dxa" w:w="1234"/>
          </w:tcPr>
          <w:p>
            <w:r>
              <w:rPr>
                <w:sz w:val="17"/>
              </w:rPr>
            </w:r>
            <w:r>
              <w:rPr>
                <w:sz w:val="17"/>
              </w:rPr>
              <w:t>2032</w:t>
            </w:r>
          </w:p>
        </w:tc>
        <w:tc>
          <w:tcPr>
            <w:tcW w:type="dxa" w:w="1234"/>
          </w:tcPr>
          <w:p>
            <w:r>
              <w:rPr>
                <w:sz w:val="17"/>
              </w:rPr>
            </w:r>
            <w:r>
              <w:rPr>
                <w:sz w:val="17"/>
              </w:rPr>
              <w:t>56.86</w:t>
            </w:r>
          </w:p>
        </w:tc>
        <w:tc>
          <w:tcPr>
            <w:tcW w:type="dxa" w:w="1234"/>
          </w:tcPr>
          <w:p>
            <w:r>
              <w:rPr>
                <w:sz w:val="17"/>
              </w:rPr>
            </w:r>
            <w:r>
              <w:rPr>
                <w:sz w:val="17"/>
              </w:rPr>
              <w:t>15.09</w:t>
            </w:r>
          </w:p>
        </w:tc>
        <w:tc>
          <w:tcPr>
            <w:tcW w:type="dxa" w:w="1234"/>
          </w:tcPr>
          <w:p>
            <w:r>
              <w:rPr>
                <w:sz w:val="17"/>
              </w:rPr>
            </w:r>
            <w:r>
              <w:rPr>
                <w:sz w:val="17"/>
              </w:rPr>
              <w:t>41.77</w:t>
            </w:r>
          </w:p>
        </w:tc>
        <w:tc>
          <w:tcPr>
            <w:tcW w:type="dxa" w:w="1234"/>
          </w:tcPr>
          <w:p>
            <w:r>
              <w:rPr>
                <w:sz w:val="17"/>
              </w:rPr>
            </w:r>
            <w:r>
              <w:rPr>
                <w:sz w:val="17"/>
              </w:rPr>
              <w:t>73.5%</w:t>
            </w:r>
          </w:p>
        </w:tc>
        <w:tc>
          <w:tcPr>
            <w:tcW w:type="dxa" w:w="1234"/>
          </w:tcPr>
          <w:p>
            <w:r>
              <w:rPr>
                <w:sz w:val="17"/>
              </w:rPr>
            </w:r>
            <w:r>
              <w:rPr>
                <w:sz w:val="17"/>
              </w:rPr>
              <w:t>2.40</w:t>
            </w:r>
          </w:p>
        </w:tc>
        <w:tc>
          <w:tcPr>
            <w:tcW w:type="dxa" w:w="1234"/>
          </w:tcPr>
          <w:p>
            <w:r>
              <w:rPr>
                <w:sz w:val="17"/>
              </w:rPr>
            </w:r>
            <w:r>
              <w:rPr>
                <w:sz w:val="17"/>
              </w:rPr>
              <w:t>28.24</w:t>
            </w:r>
          </w:p>
        </w:tc>
      </w:tr>
      <w:tr>
        <w:tc>
          <w:tcPr>
            <w:tcW w:type="dxa" w:w="1234"/>
          </w:tcPr>
          <w:p>
            <w:r>
              <w:rPr>
                <w:sz w:val="17"/>
              </w:rPr>
            </w:r>
            <w:r>
              <w:rPr>
                <w:sz w:val="17"/>
              </w:rPr>
              <w:t>2033</w:t>
            </w:r>
          </w:p>
        </w:tc>
        <w:tc>
          <w:tcPr>
            <w:tcW w:type="dxa" w:w="1234"/>
          </w:tcPr>
          <w:p>
            <w:r>
              <w:rPr>
                <w:sz w:val="17"/>
              </w:rPr>
            </w:r>
            <w:r>
              <w:rPr>
                <w:sz w:val="17"/>
              </w:rPr>
              <w:t>76.69</w:t>
            </w:r>
          </w:p>
        </w:tc>
        <w:tc>
          <w:tcPr>
            <w:tcW w:type="dxa" w:w="1234"/>
          </w:tcPr>
          <w:p>
            <w:r>
              <w:rPr>
                <w:sz w:val="17"/>
              </w:rPr>
            </w:r>
            <w:r>
              <w:rPr>
                <w:sz w:val="17"/>
              </w:rPr>
              <w:t>19.83</w:t>
            </w:r>
          </w:p>
        </w:tc>
        <w:tc>
          <w:tcPr>
            <w:tcW w:type="dxa" w:w="1234"/>
          </w:tcPr>
          <w:p>
            <w:r>
              <w:rPr>
                <w:sz w:val="17"/>
              </w:rPr>
            </w:r>
            <w:r>
              <w:rPr>
                <w:sz w:val="17"/>
              </w:rPr>
              <w:t>56.86</w:t>
            </w:r>
          </w:p>
        </w:tc>
        <w:tc>
          <w:tcPr>
            <w:tcW w:type="dxa" w:w="1234"/>
          </w:tcPr>
          <w:p>
            <w:r>
              <w:rPr>
                <w:sz w:val="17"/>
              </w:rPr>
            </w:r>
            <w:r>
              <w:rPr>
                <w:sz w:val="17"/>
              </w:rPr>
              <w:t>74.1%</w:t>
            </w:r>
          </w:p>
        </w:tc>
        <w:tc>
          <w:tcPr>
            <w:tcW w:type="dxa" w:w="1234"/>
          </w:tcPr>
          <w:p>
            <w:r>
              <w:rPr>
                <w:sz w:val="17"/>
              </w:rPr>
            </w:r>
            <w:r>
              <w:rPr>
                <w:sz w:val="17"/>
              </w:rPr>
              <w:t>1.60</w:t>
            </w:r>
          </w:p>
        </w:tc>
        <w:tc>
          <w:tcPr>
            <w:tcW w:type="dxa" w:w="1234"/>
          </w:tcPr>
          <w:p>
            <w:r>
              <w:rPr>
                <w:sz w:val="17"/>
              </w:rPr>
            </w:r>
            <w:r>
              <w:rPr>
                <w:sz w:val="17"/>
              </w:rPr>
              <w:t>40.32</w:t>
            </w:r>
          </w:p>
        </w:tc>
      </w:tr>
      <w:tr>
        <w:tc>
          <w:tcPr>
            <w:tcW w:type="dxa" w:w="1234"/>
          </w:tcPr>
          <w:p>
            <w:r>
              <w:rPr>
                <w:sz w:val="17"/>
              </w:rPr>
            </w:r>
            <w:r>
              <w:rPr>
                <w:sz w:val="17"/>
              </w:rPr>
              <w:t>2034</w:t>
            </w:r>
          </w:p>
        </w:tc>
        <w:tc>
          <w:tcPr>
            <w:tcW w:type="dxa" w:w="1234"/>
          </w:tcPr>
          <w:p>
            <w:r>
              <w:rPr>
                <w:sz w:val="17"/>
              </w:rPr>
            </w:r>
            <w:r>
              <w:rPr>
                <w:sz w:val="17"/>
              </w:rPr>
              <w:t>98.35</w:t>
            </w:r>
          </w:p>
        </w:tc>
        <w:tc>
          <w:tcPr>
            <w:tcW w:type="dxa" w:w="1234"/>
          </w:tcPr>
          <w:p>
            <w:r>
              <w:rPr>
                <w:sz w:val="17"/>
              </w:rPr>
            </w:r>
            <w:r>
              <w:rPr>
                <w:sz w:val="17"/>
              </w:rPr>
              <w:t>25.01</w:t>
            </w:r>
          </w:p>
        </w:tc>
        <w:tc>
          <w:tcPr>
            <w:tcW w:type="dxa" w:w="1234"/>
          </w:tcPr>
          <w:p>
            <w:r>
              <w:rPr>
                <w:sz w:val="17"/>
              </w:rPr>
            </w:r>
            <w:r>
              <w:rPr>
                <w:sz w:val="17"/>
              </w:rPr>
              <w:t>73.34</w:t>
            </w:r>
          </w:p>
        </w:tc>
        <w:tc>
          <w:tcPr>
            <w:tcW w:type="dxa" w:w="1234"/>
          </w:tcPr>
          <w:p>
            <w:r>
              <w:rPr>
                <w:sz w:val="17"/>
              </w:rPr>
            </w:r>
            <w:r>
              <w:rPr>
                <w:sz w:val="17"/>
              </w:rPr>
              <w:t>74.6%</w:t>
            </w:r>
          </w:p>
        </w:tc>
        <w:tc>
          <w:tcPr>
            <w:tcW w:type="dxa" w:w="1234"/>
          </w:tcPr>
          <w:p>
            <w:r>
              <w:rPr>
                <w:sz w:val="17"/>
              </w:rPr>
            </w:r>
            <w:r>
              <w:rPr>
                <w:sz w:val="17"/>
              </w:rPr>
              <w:t>1.80</w:t>
            </w:r>
          </w:p>
        </w:tc>
        <w:tc>
          <w:tcPr>
            <w:tcW w:type="dxa" w:w="1234"/>
          </w:tcPr>
          <w:p>
            <w:r>
              <w:rPr>
                <w:sz w:val="17"/>
              </w:rPr>
            </w:r>
            <w:r>
              <w:rPr>
                <w:sz w:val="17"/>
              </w:rPr>
              <w:t>52.44</w:t>
            </w:r>
          </w:p>
        </w:tc>
      </w:tr>
      <w:tr>
        <w:tc>
          <w:tcPr>
            <w:tcW w:type="dxa" w:w="1234"/>
          </w:tcPr>
          <w:p>
            <w:r>
              <w:rPr>
                <w:sz w:val="17"/>
              </w:rPr>
            </w:r>
            <w:r>
              <w:rPr>
                <w:sz w:val="17"/>
              </w:rPr>
              <w:t>2035</w:t>
            </w:r>
          </w:p>
        </w:tc>
        <w:tc>
          <w:tcPr>
            <w:tcW w:type="dxa" w:w="1234"/>
          </w:tcPr>
          <w:p>
            <w:r>
              <w:rPr>
                <w:sz w:val="17"/>
              </w:rPr>
            </w:r>
            <w:r>
              <w:rPr>
                <w:sz w:val="17"/>
              </w:rPr>
              <w:t>120.87</w:t>
            </w:r>
          </w:p>
        </w:tc>
        <w:tc>
          <w:tcPr>
            <w:tcW w:type="dxa" w:w="1234"/>
          </w:tcPr>
          <w:p>
            <w:r>
              <w:rPr>
                <w:sz w:val="17"/>
              </w:rPr>
            </w:r>
            <w:r>
              <w:rPr>
                <w:sz w:val="17"/>
              </w:rPr>
              <w:t>30.33</w:t>
            </w:r>
          </w:p>
        </w:tc>
        <w:tc>
          <w:tcPr>
            <w:tcW w:type="dxa" w:w="1234"/>
          </w:tcPr>
          <w:p>
            <w:r>
              <w:rPr>
                <w:sz w:val="17"/>
              </w:rPr>
            </w:r>
            <w:r>
              <w:rPr>
                <w:sz w:val="17"/>
              </w:rPr>
              <w:t>90.55</w:t>
            </w:r>
          </w:p>
        </w:tc>
        <w:tc>
          <w:tcPr>
            <w:tcW w:type="dxa" w:w="1234"/>
          </w:tcPr>
          <w:p>
            <w:r>
              <w:rPr>
                <w:sz w:val="17"/>
              </w:rPr>
            </w:r>
            <w:r>
              <w:rPr>
                <w:sz w:val="17"/>
              </w:rPr>
              <w:t>74.9%</w:t>
            </w:r>
          </w:p>
        </w:tc>
        <w:tc>
          <w:tcPr>
            <w:tcW w:type="dxa" w:w="1234"/>
          </w:tcPr>
          <w:p>
            <w:r>
              <w:rPr>
                <w:sz w:val="17"/>
              </w:rPr>
            </w:r>
            <w:r>
              <w:rPr>
                <w:sz w:val="17"/>
              </w:rPr>
              <w:t>2.30</w:t>
            </w:r>
          </w:p>
        </w:tc>
        <w:tc>
          <w:tcPr>
            <w:tcW w:type="dxa" w:w="1234"/>
          </w:tcPr>
          <w:p>
            <w:r>
              <w:rPr>
                <w:sz w:val="17"/>
              </w:rPr>
            </w:r>
            <w:r>
              <w:rPr>
                <w:sz w:val="17"/>
              </w:rPr>
              <w:t>64.87</w:t>
            </w:r>
          </w:p>
        </w:tc>
      </w:tr>
      <w:tr>
        <w:tc>
          <w:tcPr>
            <w:tcW w:type="dxa" w:w="1234"/>
          </w:tcPr>
          <w:p>
            <w:r>
              <w:rPr>
                <w:sz w:val="17"/>
              </w:rPr>
            </w:r>
            <w:r>
              <w:rPr>
                <w:sz w:val="17"/>
              </w:rPr>
              <w:t>2036</w:t>
            </w:r>
          </w:p>
        </w:tc>
        <w:tc>
          <w:tcPr>
            <w:tcW w:type="dxa" w:w="1234"/>
          </w:tcPr>
          <w:p>
            <w:r>
              <w:rPr>
                <w:sz w:val="17"/>
              </w:rPr>
            </w:r>
            <w:r>
              <w:rPr>
                <w:sz w:val="17"/>
              </w:rPr>
              <w:t>142.61</w:t>
            </w:r>
          </w:p>
        </w:tc>
        <w:tc>
          <w:tcPr>
            <w:tcW w:type="dxa" w:w="1234"/>
          </w:tcPr>
          <w:p>
            <w:r>
              <w:rPr>
                <w:sz w:val="17"/>
              </w:rPr>
            </w:r>
            <w:r>
              <w:rPr>
                <w:sz w:val="17"/>
              </w:rPr>
              <w:t>35.50</w:t>
            </w:r>
          </w:p>
        </w:tc>
        <w:tc>
          <w:tcPr>
            <w:tcW w:type="dxa" w:w="1234"/>
          </w:tcPr>
          <w:p>
            <w:r>
              <w:rPr>
                <w:sz w:val="17"/>
              </w:rPr>
            </w:r>
            <w:r>
              <w:rPr>
                <w:sz w:val="17"/>
              </w:rPr>
              <w:t>107.11</w:t>
            </w:r>
          </w:p>
        </w:tc>
        <w:tc>
          <w:tcPr>
            <w:tcW w:type="dxa" w:w="1234"/>
          </w:tcPr>
          <w:p>
            <w:r>
              <w:rPr>
                <w:sz w:val="17"/>
              </w:rPr>
            </w:r>
            <w:r>
              <w:rPr>
                <w:sz w:val="17"/>
              </w:rPr>
              <w:t>75.1%</w:t>
            </w:r>
          </w:p>
        </w:tc>
        <w:tc>
          <w:tcPr>
            <w:tcW w:type="dxa" w:w="1234"/>
          </w:tcPr>
          <w:p>
            <w:r>
              <w:rPr>
                <w:sz w:val="17"/>
              </w:rPr>
            </w:r>
            <w:r>
              <w:rPr>
                <w:sz w:val="17"/>
              </w:rPr>
              <w:t>2.00</w:t>
            </w:r>
          </w:p>
        </w:tc>
        <w:tc>
          <w:tcPr>
            <w:tcW w:type="dxa" w:w="1234"/>
          </w:tcPr>
          <w:p>
            <w:r>
              <w:rPr>
                <w:sz w:val="17"/>
              </w:rPr>
            </w:r>
            <w:r>
              <w:rPr>
                <w:sz w:val="17"/>
              </w:rPr>
              <w:t>77.69</w:t>
            </w:r>
          </w:p>
        </w:tc>
      </w:tr>
      <w:tr>
        <w:tc>
          <w:tcPr>
            <w:tcW w:type="dxa" w:w="1234"/>
          </w:tcPr>
          <w:p>
            <w:r>
              <w:rPr>
                <w:sz w:val="17"/>
              </w:rPr>
            </w:r>
            <w:r>
              <w:rPr>
                <w:b/>
                <w:sz w:val="17"/>
              </w:rPr>
              <w:t>مجموع التدفق 2027–2036</w:t>
            </w:r>
          </w:p>
        </w:tc>
        <w:tc>
          <w:tcPr>
            <w:tcW w:type="dxa" w:w="1234"/>
          </w:tcPr>
          <w:p>
            <w:r>
              <w:rPr>
                <w:sz w:val="17"/>
              </w:rPr>
            </w:r>
          </w:p>
        </w:tc>
        <w:tc>
          <w:tcPr>
            <w:tcW w:type="dxa" w:w="1234"/>
          </w:tcPr>
          <w:p>
            <w:r>
              <w:rPr>
                <w:sz w:val="17"/>
              </w:rPr>
            </w:r>
          </w:p>
        </w:tc>
        <w:tc>
          <w:tcPr>
            <w:tcW w:type="dxa" w:w="1234"/>
          </w:tcPr>
          <w:p>
            <w:r>
              <w:rPr>
                <w:sz w:val="17"/>
              </w:rPr>
            </w:r>
          </w:p>
        </w:tc>
        <w:tc>
          <w:tcPr>
            <w:tcW w:type="dxa" w:w="1234"/>
          </w:tcPr>
          <w:p>
            <w:r>
              <w:rPr>
                <w:sz w:val="17"/>
              </w:rPr>
            </w:r>
          </w:p>
        </w:tc>
        <w:tc>
          <w:tcPr>
            <w:tcW w:type="dxa" w:w="1234"/>
          </w:tcPr>
          <w:p>
            <w:r>
              <w:rPr>
                <w:sz w:val="17"/>
              </w:rPr>
            </w:r>
          </w:p>
        </w:tc>
        <w:tc>
          <w:tcPr>
            <w:tcW w:type="dxa" w:w="1234"/>
          </w:tcPr>
          <w:p>
            <w:r>
              <w:rPr>
                <w:sz w:val="17"/>
              </w:rPr>
            </w:r>
            <w:r>
              <w:rPr>
                <w:b/>
                <w:sz w:val="17"/>
              </w:rPr>
              <w:t>290.54</w:t>
            </w:r>
          </w:p>
        </w:tc>
      </w:tr>
    </w:tbl>
    <w:p/>
    <w:p>
      <w:pPr>
        <w:jc w:val="both"/>
      </w:pPr>
      <w:r>
        <w:rPr>
          <w:b/>
        </w:rPr>
        <w:t>تغييرات منحنى OpEx (مقارنة بالنموذج قبل refactor):</w:t>
      </w:r>
    </w:p>
    <w:p>
      <w:pPr>
        <w:pStyle w:val="ListBullet"/>
      </w:pPr>
      <w:r>
        <w:t>+30 % لكتلة الامتثال (نموّ متطلبات 779-P وAML/KYC).</w:t>
      </w:r>
    </w:p>
    <w:p>
      <w:pPr>
        <w:pStyle w:val="ListBullet"/>
      </w:pPr>
      <w:r>
        <w:t>+25 % للأمن السيبراني (KII-1، SOC على مدار الساعة، اختبارات الاختراق، تدوير المفاتيح).</w:t>
      </w:r>
    </w:p>
    <w:p>
      <w:pPr>
        <w:pStyle w:val="ListBullet"/>
      </w:pPr>
      <w:r>
        <w:t>+40 % للكتلة القانونية (الحزمة التعاقدية، الدعم التنظيمي، الملكية الفكرية).</w:t>
      </w:r>
    </w:p>
    <w:p>
      <w:pPr>
        <w:pStyle w:val="ListBullet"/>
      </w:pPr>
      <w:r>
        <w:t>استُحدثت كتلة «المقيّمون وشركات التأمين» — 0.8 % من حجم إصدار DFA.</w:t>
      </w:r>
    </w:p>
    <w:p>
      <w:pPr>
        <w:jc w:val="both"/>
      </w:pPr>
      <w:r>
        <w:t xml:space="preserve">يقترب هامش EBITDA في الطور الناضج من </w:t>
      </w:r>
      <w:r>
        <w:rPr>
          <w:b/>
        </w:rPr>
        <w:t>74.8 %</w:t>
      </w:r>
      <w:r>
        <w:t xml:space="preserve"> (بعد refactor، استبدالًا للنسبة غير الواقعية السابقة 96.9 %) — ضمن نطاق مشغّلي fintech tier-1 (Visa 67 %، بورصة موسكو 75 %، جهات الإيداع 50–65 %).</w:t>
      </w:r>
    </w:p>
    <w:p>
      <w:pPr>
        <w:pStyle w:val="Heading3"/>
      </w:pPr>
      <w:r>
        <w:t>2.2. معدل الخصم (WACC)</w:t>
      </w:r>
    </w:p>
    <w:p>
      <w:pPr>
        <w:jc w:val="both"/>
      </w:pPr>
      <w:r>
        <w:rPr>
          <w:b/>
        </w:rPr>
        <w:t>تعديل التدقيق:</w:t>
      </w:r>
      <w:r>
        <w:t xml:space="preserve"> أُزيل double-counting (CRP غير لازم في RUB-denominated RF)؛ ERP رُفعت من 6 % إلى 9 % (Damodaran مايو 2026)؛ β عند 1.15 (Damodaran fintech).</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المكوّن</w:t>
            </w:r>
          </w:p>
        </w:tc>
        <w:tc>
          <w:tcPr>
            <w:tcW w:type="dxa" w:w="4320"/>
          </w:tcPr>
          <w:p>
            <w:r>
              <w:rPr>
                <w:b/>
                <w:sz w:val="17"/>
              </w:rPr>
            </w:r>
            <w:r>
              <w:rPr>
                <w:b/>
                <w:sz w:val="17"/>
              </w:rPr>
              <w:t>القيمة</w:t>
            </w:r>
          </w:p>
        </w:tc>
      </w:tr>
      <w:tr>
        <w:tc>
          <w:tcPr>
            <w:tcW w:type="dxa" w:w="4320"/>
          </w:tcPr>
          <w:p>
            <w:r>
              <w:rPr>
                <w:sz w:val="17"/>
              </w:rPr>
            </w:r>
            <w:r>
              <w:rPr>
                <w:sz w:val="17"/>
              </w:rPr>
              <w:t>Risk-free rate (OFZ 10 سنوات، RUB، 24.05.2026)</w:t>
            </w:r>
          </w:p>
        </w:tc>
        <w:tc>
          <w:tcPr>
            <w:tcW w:type="dxa" w:w="4320"/>
          </w:tcPr>
          <w:p>
            <w:r>
              <w:rPr>
                <w:sz w:val="17"/>
              </w:rPr>
            </w:r>
            <w:r>
              <w:rPr>
                <w:sz w:val="17"/>
              </w:rPr>
              <w:t>14.73%</w:t>
            </w:r>
          </w:p>
        </w:tc>
      </w:tr>
      <w:tr>
        <w:tc>
          <w:tcPr>
            <w:tcW w:type="dxa" w:w="4320"/>
          </w:tcPr>
          <w:p>
            <w:r>
              <w:rPr>
                <w:sz w:val="17"/>
              </w:rPr>
            </w:r>
            <w:r>
              <w:rPr>
                <w:sz w:val="17"/>
              </w:rPr>
              <w:t>ERP × β (RF مايو 2026، β 1.15)</w:t>
            </w:r>
          </w:p>
        </w:tc>
        <w:tc>
          <w:tcPr>
            <w:tcW w:type="dxa" w:w="4320"/>
          </w:tcPr>
          <w:p>
            <w:r>
              <w:rPr>
                <w:sz w:val="17"/>
              </w:rPr>
            </w:r>
            <w:r>
              <w:rPr>
                <w:sz w:val="17"/>
              </w:rPr>
              <w:t>9.0 % × 1.15 = 10.35 %</w:t>
            </w:r>
          </w:p>
        </w:tc>
      </w:tr>
      <w:tr>
        <w:tc>
          <w:tcPr>
            <w:tcW w:type="dxa" w:w="4320"/>
          </w:tcPr>
          <w:p>
            <w:r>
              <w:rPr>
                <w:sz w:val="17"/>
              </w:rPr>
            </w:r>
            <w:r>
              <w:rPr>
                <w:sz w:val="17"/>
              </w:rPr>
              <w:t>Stage premium (MVP جاهز)</w:t>
            </w:r>
          </w:p>
        </w:tc>
        <w:tc>
          <w:tcPr>
            <w:tcW w:type="dxa" w:w="4320"/>
          </w:tcPr>
          <w:p>
            <w:r>
              <w:rPr>
                <w:sz w:val="17"/>
              </w:rPr>
            </w:r>
            <w:r>
              <w:rPr>
                <w:sz w:val="17"/>
              </w:rPr>
              <w:t>2.5%</w:t>
            </w:r>
          </w:p>
        </w:tc>
      </w:tr>
      <w:tr>
        <w:tc>
          <w:tcPr>
            <w:tcW w:type="dxa" w:w="4320"/>
          </w:tcPr>
          <w:p>
            <w:r>
              <w:rPr>
                <w:sz w:val="17"/>
              </w:rPr>
            </w:r>
            <w:r>
              <w:rPr>
                <w:sz w:val="17"/>
              </w:rPr>
              <w:t>Liquidity premium</w:t>
            </w:r>
          </w:p>
        </w:tc>
        <w:tc>
          <w:tcPr>
            <w:tcW w:type="dxa" w:w="4320"/>
          </w:tcPr>
          <w:p>
            <w:r>
              <w:rPr>
                <w:sz w:val="17"/>
              </w:rPr>
            </w:r>
            <w:r>
              <w:rPr>
                <w:sz w:val="17"/>
              </w:rPr>
              <w:t>3.0%</w:t>
            </w:r>
          </w:p>
        </w:tc>
      </w:tr>
      <w:tr>
        <w:tc>
          <w:tcPr>
            <w:tcW w:type="dxa" w:w="4320"/>
          </w:tcPr>
          <w:p>
            <w:r>
              <w:rPr>
                <w:sz w:val="17"/>
              </w:rPr>
            </w:r>
            <w:r>
              <w:rPr>
                <w:b/>
                <w:sz w:val="17"/>
              </w:rPr>
              <w:t>WACC (RUB) — المجموع</w:t>
            </w:r>
          </w:p>
        </w:tc>
        <w:tc>
          <w:tcPr>
            <w:tcW w:type="dxa" w:w="4320"/>
          </w:tcPr>
          <w:p>
            <w:r>
              <w:rPr>
                <w:sz w:val="17"/>
              </w:rPr>
            </w:r>
            <w:r>
              <w:rPr>
                <w:b/>
                <w:sz w:val="17"/>
              </w:rPr>
              <w:t>29.58% → 30 %</w:t>
            </w:r>
          </w:p>
        </w:tc>
      </w:tr>
    </w:tbl>
    <w:p/>
    <w:p>
      <w:pPr>
        <w:jc w:val="both"/>
      </w:pPr>
      <w:r>
        <w:t>WACC بديل عبر comparables عالمية (USD-denominated): 16.75 %. يستخدم DCF قيمة RUB-WACC 29.5%.</w:t>
      </w:r>
    </w:p>
    <w:p>
      <w:pPr>
        <w:pStyle w:val="Heading3"/>
      </w:pPr>
      <w:r>
        <w:t>2.3. القيمة النهائية</w:t>
      </w:r>
    </w:p>
    <w:p>
      <w:pPr>
        <w:jc w:val="both"/>
      </w:pPr>
      <w:r>
        <w:t>طريقة واحدة — نموذج غوردون على تدفق مُطبَّع (النفقات الرأسمالية مساوية للإهلاك، والزيادة في رأس المال العامل تساوي g × رأس المال العامل).</w:t>
      </w:r>
    </w:p>
    <w:p>
      <w:pPr>
        <w:pStyle w:val="ListBullet"/>
      </w:pPr>
      <w:r>
        <w:t xml:space="preserve">التدفق المُطبَّع — </w:t>
      </w:r>
      <w:r>
        <w:rPr>
          <w:b/>
        </w:rPr>
        <w:t>78.71 مليار ₽</w:t>
      </w:r>
      <w:r>
        <w:t>؛ ومعدل النمو طويل الأجل g = 4 % (اسمي، مساوٍ لمستهدف التضخم).</w:t>
      </w:r>
    </w:p>
    <w:p>
      <w:pPr>
        <w:pStyle w:val="ListBullet"/>
      </w:pPr>
      <w:r>
        <w:t xml:space="preserve">القيمة النهائية في نهاية 2036 = 78.71 × 1.04 / (0.2958 − 0.04) ≈ </w:t>
      </w:r>
      <w:r>
        <w:rPr>
          <w:b/>
        </w:rPr>
        <w:t>320.0 مليار ₽</w:t>
      </w:r>
      <w:r>
        <w:t>.</w:t>
      </w:r>
    </w:p>
    <w:p>
      <w:pPr>
        <w:pStyle w:val="ListBullet"/>
      </w:pPr>
      <w:r>
        <w:t xml:space="preserve">مخصومة إلى تاريخ التقييم (× 0.0749) — </w:t>
      </w:r>
      <w:r>
        <w:rPr>
          <w:b/>
        </w:rPr>
        <w:t>23.98 مليار ₽</w:t>
      </w:r>
      <w:r>
        <w:t xml:space="preserve">؛ وحصتها من قيمة المشروع </w:t>
      </w:r>
      <w:r>
        <w:rPr>
          <w:b/>
        </w:rPr>
        <w:t>38 %</w:t>
      </w:r>
      <w:r>
        <w:t>.</w:t>
      </w:r>
    </w:p>
    <w:p>
      <w:pPr>
        <w:ind w:left="360"/>
      </w:pPr>
      <w:r>
        <w:rPr>
          <w:i/>
          <w:color w:val="444444"/>
        </w:rPr>
        <w:t>استخدمت الإصدارات السابقة ثلاثة مداخل غير متوافقة في آنٍ واحد (غوردون بمعدل 2 %، ونموذجًا ثلاثي المراحل، ومعدل 4 % في خطة العمل). وأُبقي على واحد.</w:t>
      </w:r>
    </w:p>
    <w:p>
      <w:pPr>
        <w:pStyle w:val="Heading3"/>
      </w:pPr>
      <w:r>
        <w:t>2.4. ناتج مدخل الدخل</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المكوّن</w:t>
            </w:r>
          </w:p>
        </w:tc>
        <w:tc>
          <w:tcPr>
            <w:tcW w:type="dxa" w:w="4320"/>
          </w:tcPr>
          <w:p>
            <w:r>
              <w:rPr>
                <w:b/>
                <w:sz w:val="17"/>
              </w:rPr>
            </w:r>
            <w:r>
              <w:rPr>
                <w:b/>
                <w:sz w:val="17"/>
              </w:rPr>
              <w:t>مليار ₽</w:t>
            </w:r>
          </w:p>
        </w:tc>
      </w:tr>
      <w:tr>
        <w:tc>
          <w:tcPr>
            <w:tcW w:type="dxa" w:w="4320"/>
          </w:tcPr>
          <w:p>
            <w:r>
              <w:rPr>
                <w:sz w:val="17"/>
              </w:rPr>
            </w:r>
            <w:r>
              <w:rPr>
                <w:sz w:val="17"/>
              </w:rPr>
              <w:t>مجموع التدفقات المخصومة 2027–2036 (المعدل 29.58 %)</w:t>
            </w:r>
          </w:p>
        </w:tc>
        <w:tc>
          <w:tcPr>
            <w:tcW w:type="dxa" w:w="4320"/>
          </w:tcPr>
          <w:p>
            <w:r>
              <w:rPr>
                <w:sz w:val="17"/>
              </w:rPr>
            </w:r>
            <w:r>
              <w:rPr>
                <w:sz w:val="17"/>
              </w:rPr>
              <w:t>38.99</w:t>
            </w:r>
          </w:p>
        </w:tc>
      </w:tr>
      <w:tr>
        <w:tc>
          <w:tcPr>
            <w:tcW w:type="dxa" w:w="4320"/>
          </w:tcPr>
          <w:p>
            <w:r>
              <w:rPr>
                <w:sz w:val="17"/>
              </w:rPr>
            </w:r>
            <w:r>
              <w:rPr>
                <w:sz w:val="17"/>
              </w:rPr>
              <w:t>القيمة النهائية المخصومة (غوردون، g = 4 %)</w:t>
            </w:r>
          </w:p>
        </w:tc>
        <w:tc>
          <w:tcPr>
            <w:tcW w:type="dxa" w:w="4320"/>
          </w:tcPr>
          <w:p>
            <w:r>
              <w:rPr>
                <w:sz w:val="17"/>
              </w:rPr>
            </w:r>
            <w:r>
              <w:rPr>
                <w:sz w:val="17"/>
              </w:rPr>
              <w:t>23.98</w:t>
            </w:r>
          </w:p>
        </w:tc>
      </w:tr>
      <w:tr>
        <w:tc>
          <w:tcPr>
            <w:tcW w:type="dxa" w:w="4320"/>
          </w:tcPr>
          <w:p>
            <w:r>
              <w:rPr>
                <w:sz w:val="17"/>
              </w:rPr>
            </w:r>
            <w:r>
              <w:rPr>
                <w:b/>
                <w:sz w:val="17"/>
              </w:rPr>
              <w:t>Enterprise Value (DCF) — قاعدة قابلة للدفاع</w:t>
            </w:r>
          </w:p>
        </w:tc>
        <w:tc>
          <w:tcPr>
            <w:tcW w:type="dxa" w:w="4320"/>
          </w:tcPr>
          <w:p>
            <w:r>
              <w:rPr>
                <w:sz w:val="17"/>
              </w:rPr>
            </w:r>
            <w:r>
              <w:rPr>
                <w:b/>
                <w:sz w:val="17"/>
              </w:rPr>
              <w:t>62.97</w:t>
            </w:r>
          </w:p>
        </w:tc>
      </w:tr>
    </w:tbl>
    <w:p/>
    <w:p>
      <w:pPr>
        <w:ind w:left="360"/>
      </w:pPr>
      <w:r>
        <w:rPr>
          <w:i/>
          <w:color w:val="444444"/>
        </w:rPr>
        <w:t>تُشتق سلسلة التدفقات من قائمة الأرباح والخسائر وتُتحقق برمجيًّا. ولم تكن كذلك في الإصدار السابق: إذ تجاهلت رأس المال العامل واحتوت على بواقٍ غير مفسَّرة.</w:t>
      </w:r>
    </w:p>
    <w:p>
      <w:pPr>
        <w:pStyle w:val="Heading3"/>
      </w:pPr>
      <w:r>
        <w:t>2.5. Pre-money DCF (SoT v4)</w:t>
      </w:r>
    </w:p>
    <w:p>
      <w:pPr>
        <w:jc w:val="both"/>
      </w:pPr>
      <w:r>
        <w:t xml:space="preserve">في مرحلة «MVP + الجانب العميل مكتمل» يُطبَّق </w:t>
      </w:r>
      <w:r>
        <w:rPr>
          <w:b/>
        </w:rPr>
        <w:t>خصم stage وحيد بنسبة 60 %</w:t>
      </w:r>
      <w:r>
        <w:t xml:space="preserve"> (دون double-counting):</w:t>
      </w:r>
    </w:p>
    <w:p>
      <w:pPr>
        <w:pStyle w:val="ListBullet"/>
      </w:pPr>
      <w:r>
        <w:t>المخاطرة التنظيمية (الطابع الثنائي لتعديلات 86-FZ — مُخفَّفة في بنية wedge للمرحلة 1 عبر Atomyze / VEB.RF)؛</w:t>
      </w:r>
    </w:p>
    <w:p>
      <w:pPr>
        <w:pStyle w:val="ListBullet"/>
      </w:pPr>
      <w:r>
        <w:t>مخاطر التنفيذ مخفَّضة؛ المخاطر التكنولوجية للجانب العميل — مُزالة (التطبيق جاهز)؛</w:t>
      </w:r>
    </w:p>
    <w:p>
      <w:pPr>
        <w:pStyle w:val="ListBullet"/>
      </w:pPr>
      <w:r>
        <w:t>مكوّن exit-discount مُدرَج.</w:t>
      </w:r>
    </w:p>
    <w:p>
      <w:pPr>
        <w:jc w:val="both"/>
      </w:pPr>
      <w:r>
        <w:rPr>
          <w:b/>
        </w:rPr>
        <w:t>DCF pre-money = 63.0 مليار ₽ × 0.40 (1 − خصم stage 60 %) + uplift لـ MVP جاهز ≈ 21.4 مليار ₽ ≈ 240 مليون $.</w:t>
      </w:r>
      <w:r>
        <w:t xml:space="preserve"> (حدّ أعلى قابل للدفاع مع TV الموسَّع: 280 مليون $.)</w:t>
      </w:r>
    </w:p>
    <w:p>
      <w:pPr>
        <w:pStyle w:val="Heading2"/>
      </w:pPr>
      <w:r>
        <w:t>3. Comparable Multiples (نهج السوق)</w:t>
      </w:r>
    </w:p>
    <w:p>
      <w:pPr>
        <w:pStyle w:val="Heading3"/>
      </w:pPr>
      <w:r>
        <w:t>3.1. شركات وصفقات مقارنة (2026)</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الشركة / الصفقة</w:t>
            </w:r>
          </w:p>
        </w:tc>
        <w:tc>
          <w:tcPr>
            <w:tcW w:type="dxa" w:w="1440"/>
          </w:tcPr>
          <w:p>
            <w:r>
              <w:rPr>
                <w:b/>
                <w:sz w:val="17"/>
              </w:rPr>
            </w:r>
            <w:r>
              <w:rPr>
                <w:b/>
                <w:sz w:val="17"/>
              </w:rPr>
              <w:t>القطاع</w:t>
            </w:r>
          </w:p>
        </w:tc>
        <w:tc>
          <w:tcPr>
            <w:tcW w:type="dxa" w:w="1440"/>
          </w:tcPr>
          <w:p>
            <w:r>
              <w:rPr>
                <w:b/>
                <w:sz w:val="17"/>
              </w:rPr>
            </w:r>
            <w:r>
              <w:rPr>
                <w:b/>
                <w:sz w:val="17"/>
              </w:rPr>
              <w:t>المرحلة</w:t>
            </w:r>
          </w:p>
        </w:tc>
        <w:tc>
          <w:tcPr>
            <w:tcW w:type="dxa" w:w="1440"/>
          </w:tcPr>
          <w:p>
            <w:r>
              <w:rPr>
                <w:b/>
                <w:sz w:val="17"/>
              </w:rPr>
            </w:r>
            <w:r>
              <w:rPr>
                <w:b/>
                <w:sz w:val="17"/>
              </w:rPr>
              <w:t>EV، مليون $</w:t>
            </w:r>
          </w:p>
        </w:tc>
        <w:tc>
          <w:tcPr>
            <w:tcW w:type="dxa" w:w="1440"/>
          </w:tcPr>
          <w:p>
            <w:r>
              <w:rPr>
                <w:b/>
                <w:sz w:val="17"/>
              </w:rPr>
            </w:r>
            <w:r>
              <w:rPr>
                <w:b/>
                <w:sz w:val="17"/>
              </w:rPr>
              <w:t>الإيراد، مليون $</w:t>
            </w:r>
          </w:p>
        </w:tc>
        <w:tc>
          <w:tcPr>
            <w:tcW w:type="dxa" w:w="1440"/>
          </w:tcPr>
          <w:p>
            <w:r>
              <w:rPr>
                <w:b/>
                <w:sz w:val="17"/>
              </w:rPr>
            </w:r>
            <w:r>
              <w:rPr>
                <w:b/>
                <w:sz w:val="17"/>
              </w:rPr>
              <w:t>EV/Revenue</w:t>
            </w:r>
          </w:p>
        </w:tc>
      </w:tr>
      <w:tr>
        <w:tc>
          <w:tcPr>
            <w:tcW w:type="dxa" w:w="1440"/>
          </w:tcPr>
          <w:p>
            <w:r>
              <w:rPr>
                <w:sz w:val="17"/>
              </w:rPr>
            </w:r>
            <w:r>
              <w:rPr>
                <w:sz w:val="17"/>
              </w:rPr>
              <w:t>Securitize (تورين RWA، الولايات المتحدة)</w:t>
            </w:r>
          </w:p>
        </w:tc>
        <w:tc>
          <w:tcPr>
            <w:tcW w:type="dxa" w:w="1440"/>
          </w:tcPr>
          <w:p>
            <w:r>
              <w:rPr>
                <w:sz w:val="17"/>
              </w:rPr>
            </w:r>
            <w:r>
              <w:rPr>
                <w:sz w:val="17"/>
              </w:rPr>
              <w:t>RWA</w:t>
            </w:r>
          </w:p>
        </w:tc>
        <w:tc>
          <w:tcPr>
            <w:tcW w:type="dxa" w:w="1440"/>
          </w:tcPr>
          <w:p>
            <w:r>
              <w:rPr>
                <w:sz w:val="17"/>
              </w:rPr>
            </w:r>
            <w:r>
              <w:rPr>
                <w:sz w:val="17"/>
              </w:rPr>
              <w:t>Series C</w:t>
            </w:r>
          </w:p>
        </w:tc>
        <w:tc>
          <w:tcPr>
            <w:tcW w:type="dxa" w:w="1440"/>
          </w:tcPr>
          <w:p>
            <w:r>
              <w:rPr>
                <w:sz w:val="17"/>
              </w:rPr>
            </w:r>
            <w:r>
              <w:rPr>
                <w:sz w:val="17"/>
              </w:rPr>
              <w:t>980</w:t>
            </w:r>
          </w:p>
        </w:tc>
        <w:tc>
          <w:tcPr>
            <w:tcW w:type="dxa" w:w="1440"/>
          </w:tcPr>
          <w:p>
            <w:r>
              <w:rPr>
                <w:sz w:val="17"/>
              </w:rPr>
            </w:r>
            <w:r>
              <w:rPr>
                <w:sz w:val="17"/>
              </w:rPr>
              <w:t>60</w:t>
            </w:r>
          </w:p>
        </w:tc>
        <w:tc>
          <w:tcPr>
            <w:tcW w:type="dxa" w:w="1440"/>
          </w:tcPr>
          <w:p>
            <w:r>
              <w:rPr>
                <w:sz w:val="17"/>
              </w:rPr>
            </w:r>
            <w:r>
              <w:rPr>
                <w:sz w:val="17"/>
              </w:rPr>
              <w:t>16.3×</w:t>
            </w:r>
          </w:p>
        </w:tc>
      </w:tr>
      <w:tr>
        <w:tc>
          <w:tcPr>
            <w:tcW w:type="dxa" w:w="1440"/>
          </w:tcPr>
          <w:p>
            <w:r>
              <w:rPr>
                <w:sz w:val="17"/>
              </w:rPr>
            </w:r>
            <w:r>
              <w:rPr>
                <w:sz w:val="17"/>
              </w:rPr>
              <w:t>Polymath / Tokeny</w:t>
            </w:r>
          </w:p>
        </w:tc>
        <w:tc>
          <w:tcPr>
            <w:tcW w:type="dxa" w:w="1440"/>
          </w:tcPr>
          <w:p>
            <w:r>
              <w:rPr>
                <w:sz w:val="17"/>
              </w:rPr>
            </w:r>
            <w:r>
              <w:rPr>
                <w:sz w:val="17"/>
              </w:rPr>
              <w:t>Security Tokens</w:t>
            </w:r>
          </w:p>
        </w:tc>
        <w:tc>
          <w:tcPr>
            <w:tcW w:type="dxa" w:w="1440"/>
          </w:tcPr>
          <w:p>
            <w:r>
              <w:rPr>
                <w:sz w:val="17"/>
              </w:rPr>
            </w:r>
            <w:r>
              <w:rPr>
                <w:sz w:val="17"/>
              </w:rPr>
              <w:t>Late-stage</w:t>
            </w:r>
          </w:p>
        </w:tc>
        <w:tc>
          <w:tcPr>
            <w:tcW w:type="dxa" w:w="1440"/>
          </w:tcPr>
          <w:p>
            <w:r>
              <w:rPr>
                <w:sz w:val="17"/>
              </w:rPr>
            </w:r>
            <w:r>
              <w:rPr>
                <w:sz w:val="17"/>
              </w:rPr>
              <w:t>280</w:t>
            </w:r>
          </w:p>
        </w:tc>
        <w:tc>
          <w:tcPr>
            <w:tcW w:type="dxa" w:w="1440"/>
          </w:tcPr>
          <w:p>
            <w:r>
              <w:rPr>
                <w:sz w:val="17"/>
              </w:rPr>
            </w:r>
            <w:r>
              <w:rPr>
                <w:sz w:val="17"/>
              </w:rPr>
              <w:t>18</w:t>
            </w:r>
          </w:p>
        </w:tc>
        <w:tc>
          <w:tcPr>
            <w:tcW w:type="dxa" w:w="1440"/>
          </w:tcPr>
          <w:p>
            <w:r>
              <w:rPr>
                <w:sz w:val="17"/>
              </w:rPr>
            </w:r>
            <w:r>
              <w:rPr>
                <w:sz w:val="17"/>
              </w:rPr>
              <w:t>15.6×</w:t>
            </w:r>
          </w:p>
        </w:tc>
      </w:tr>
      <w:tr>
        <w:tc>
          <w:tcPr>
            <w:tcW w:type="dxa" w:w="1440"/>
          </w:tcPr>
          <w:p>
            <w:r>
              <w:rPr>
                <w:sz w:val="17"/>
              </w:rPr>
            </w:r>
            <w:r>
              <w:rPr>
                <w:sz w:val="17"/>
              </w:rPr>
              <w:t>HQLAx (DLT-collateral)</w:t>
            </w:r>
          </w:p>
        </w:tc>
        <w:tc>
          <w:tcPr>
            <w:tcW w:type="dxa" w:w="1440"/>
          </w:tcPr>
          <w:p>
            <w:r>
              <w:rPr>
                <w:sz w:val="17"/>
              </w:rPr>
            </w:r>
            <w:r>
              <w:rPr>
                <w:sz w:val="17"/>
              </w:rPr>
              <w:t>DLT-collateral</w:t>
            </w:r>
          </w:p>
        </w:tc>
        <w:tc>
          <w:tcPr>
            <w:tcW w:type="dxa" w:w="1440"/>
          </w:tcPr>
          <w:p>
            <w:r>
              <w:rPr>
                <w:sz w:val="17"/>
              </w:rPr>
            </w:r>
            <w:r>
              <w:rPr>
                <w:sz w:val="17"/>
              </w:rPr>
              <w:t>Late-stage</w:t>
            </w:r>
          </w:p>
        </w:tc>
        <w:tc>
          <w:tcPr>
            <w:tcW w:type="dxa" w:w="1440"/>
          </w:tcPr>
          <w:p>
            <w:r>
              <w:rPr>
                <w:sz w:val="17"/>
              </w:rPr>
            </w:r>
            <w:r>
              <w:rPr>
                <w:sz w:val="17"/>
              </w:rPr>
              <w:t>180</w:t>
            </w:r>
          </w:p>
        </w:tc>
        <w:tc>
          <w:tcPr>
            <w:tcW w:type="dxa" w:w="1440"/>
          </w:tcPr>
          <w:p>
            <w:r>
              <w:rPr>
                <w:sz w:val="17"/>
              </w:rPr>
            </w:r>
            <w:r>
              <w:rPr>
                <w:sz w:val="17"/>
              </w:rPr>
              <w:t>14</w:t>
            </w:r>
          </w:p>
        </w:tc>
        <w:tc>
          <w:tcPr>
            <w:tcW w:type="dxa" w:w="1440"/>
          </w:tcPr>
          <w:p>
            <w:r>
              <w:rPr>
                <w:sz w:val="17"/>
              </w:rPr>
            </w:r>
            <w:r>
              <w:rPr>
                <w:sz w:val="17"/>
              </w:rPr>
              <w:t>12.9×</w:t>
            </w:r>
          </w:p>
        </w:tc>
      </w:tr>
      <w:tr>
        <w:tc>
          <w:tcPr>
            <w:tcW w:type="dxa" w:w="1440"/>
          </w:tcPr>
          <w:p>
            <w:r>
              <w:rPr>
                <w:sz w:val="17"/>
              </w:rPr>
            </w:r>
            <w:r>
              <w:rPr>
                <w:sz w:val="17"/>
              </w:rPr>
              <w:t>Atomyze (RU)</w:t>
            </w:r>
          </w:p>
        </w:tc>
        <w:tc>
          <w:tcPr>
            <w:tcW w:type="dxa" w:w="1440"/>
          </w:tcPr>
          <w:p>
            <w:r>
              <w:rPr>
                <w:sz w:val="17"/>
              </w:rPr>
            </w:r>
            <w:r>
              <w:rPr>
                <w:sz w:val="17"/>
              </w:rPr>
              <w:t>مشغّل DFA</w:t>
            </w:r>
          </w:p>
        </w:tc>
        <w:tc>
          <w:tcPr>
            <w:tcW w:type="dxa" w:w="1440"/>
          </w:tcPr>
          <w:p>
            <w:r>
              <w:rPr>
                <w:sz w:val="17"/>
              </w:rPr>
            </w:r>
            <w:r>
              <w:rPr>
                <w:sz w:val="17"/>
              </w:rPr>
              <w:t>Series A</w:t>
            </w:r>
          </w:p>
        </w:tc>
        <w:tc>
          <w:tcPr>
            <w:tcW w:type="dxa" w:w="1440"/>
          </w:tcPr>
          <w:p>
            <w:r>
              <w:rPr>
                <w:sz w:val="17"/>
              </w:rPr>
            </w:r>
            <w:r>
              <w:rPr>
                <w:sz w:val="17"/>
              </w:rPr>
              <w:t>~85</w:t>
            </w:r>
          </w:p>
        </w:tc>
        <w:tc>
          <w:tcPr>
            <w:tcW w:type="dxa" w:w="1440"/>
          </w:tcPr>
          <w:p>
            <w:r>
              <w:rPr>
                <w:sz w:val="17"/>
              </w:rPr>
            </w:r>
            <w:r>
              <w:rPr>
                <w:sz w:val="17"/>
              </w:rPr>
              <w:t>~6</w:t>
            </w:r>
          </w:p>
        </w:tc>
        <w:tc>
          <w:tcPr>
            <w:tcW w:type="dxa" w:w="1440"/>
          </w:tcPr>
          <w:p>
            <w:r>
              <w:rPr>
                <w:sz w:val="17"/>
              </w:rPr>
            </w:r>
            <w:r>
              <w:rPr>
                <w:sz w:val="17"/>
              </w:rPr>
              <w:t>14.2×</w:t>
            </w:r>
          </w:p>
        </w:tc>
      </w:tr>
      <w:tr>
        <w:tc>
          <w:tcPr>
            <w:tcW w:type="dxa" w:w="1440"/>
          </w:tcPr>
          <w:p>
            <w:r>
              <w:rPr>
                <w:sz w:val="17"/>
              </w:rPr>
            </w:r>
            <w:r>
              <w:rPr>
                <w:sz w:val="17"/>
              </w:rPr>
              <w:t>Sber CFA (تقدير خبير)</w:t>
            </w:r>
          </w:p>
        </w:tc>
        <w:tc>
          <w:tcPr>
            <w:tcW w:type="dxa" w:w="1440"/>
          </w:tcPr>
          <w:p>
            <w:r>
              <w:rPr>
                <w:sz w:val="17"/>
              </w:rPr>
            </w:r>
            <w:r>
              <w:rPr>
                <w:sz w:val="17"/>
              </w:rPr>
              <w:t>مشغّل DFA</w:t>
            </w:r>
          </w:p>
        </w:tc>
        <w:tc>
          <w:tcPr>
            <w:tcW w:type="dxa" w:w="1440"/>
          </w:tcPr>
          <w:p>
            <w:r>
              <w:rPr>
                <w:sz w:val="17"/>
              </w:rPr>
            </w:r>
            <w:r>
              <w:rPr>
                <w:sz w:val="17"/>
              </w:rPr>
              <w:t>Mature</w:t>
            </w:r>
          </w:p>
        </w:tc>
        <w:tc>
          <w:tcPr>
            <w:tcW w:type="dxa" w:w="1440"/>
          </w:tcPr>
          <w:p>
            <w:r>
              <w:rPr>
                <w:sz w:val="17"/>
              </w:rPr>
            </w:r>
            <w:r>
              <w:rPr>
                <w:sz w:val="17"/>
              </w:rPr>
              <w:t>~230</w:t>
            </w:r>
          </w:p>
        </w:tc>
        <w:tc>
          <w:tcPr>
            <w:tcW w:type="dxa" w:w="1440"/>
          </w:tcPr>
          <w:p>
            <w:r>
              <w:rPr>
                <w:sz w:val="17"/>
              </w:rPr>
            </w:r>
            <w:r>
              <w:rPr>
                <w:sz w:val="17"/>
              </w:rPr>
              <w:t>~22</w:t>
            </w:r>
          </w:p>
        </w:tc>
        <w:tc>
          <w:tcPr>
            <w:tcW w:type="dxa" w:w="1440"/>
          </w:tcPr>
          <w:p>
            <w:r>
              <w:rPr>
                <w:sz w:val="17"/>
              </w:rPr>
            </w:r>
            <w:r>
              <w:rPr>
                <w:sz w:val="17"/>
              </w:rPr>
              <w:t>10.5×</w:t>
            </w:r>
          </w:p>
        </w:tc>
      </w:tr>
      <w:tr>
        <w:tc>
          <w:tcPr>
            <w:tcW w:type="dxa" w:w="1440"/>
          </w:tcPr>
          <w:p>
            <w:r>
              <w:rPr>
                <w:sz w:val="17"/>
              </w:rPr>
            </w:r>
            <w:r>
              <w:rPr>
                <w:b/>
                <w:sz w:val="17"/>
              </w:rPr>
              <w:t>الوسيط 2026</w:t>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r>
              <w:rPr>
                <w:b/>
                <w:sz w:val="17"/>
              </w:rPr>
              <w:t>14.2×</w:t>
            </w:r>
          </w:p>
        </w:tc>
      </w:tr>
    </w:tbl>
    <w:p/>
    <w:p>
      <w:pPr>
        <w:pStyle w:val="Heading3"/>
      </w:pPr>
      <w:r>
        <w:t>3.2. تطبيق المضاعف</w:t>
      </w:r>
    </w:p>
    <w:p>
      <w:pPr>
        <w:pStyle w:val="ListBullet"/>
      </w:pPr>
      <w:r>
        <w:t>الإيراد المستهدف للسنة 5 (2029) — 421 مليون $ (37.5 مليار ₽ عند FX 71.55).</w:t>
      </w:r>
    </w:p>
    <w:p>
      <w:pPr>
        <w:pStyle w:val="ListBullet"/>
      </w:pPr>
      <w:r>
        <w:t>EV/Revenue لخمس سنوات = 14.2× × 421 مليون $ = 5.98 مليار $.</w:t>
      </w:r>
    </w:p>
    <w:p>
      <w:pPr>
        <w:pStyle w:val="ListBullet"/>
      </w:pPr>
      <w:r>
        <w:t>خصم إلى pre-money (5 سنوات، WACC 29.5%) = 1 / 1.30⁵ ≈ 27 %.</w:t>
      </w:r>
    </w:p>
    <w:p>
      <w:pPr>
        <w:pStyle w:val="ListBullet"/>
      </w:pPr>
      <w:r>
        <w:t>Pre-money بالمضاعف = 5.98 مليار $ × 0.27 ≈ 1.61 مليار $.</w:t>
      </w:r>
    </w:p>
    <w:p>
      <w:pPr>
        <w:jc w:val="both"/>
      </w:pPr>
      <w:r>
        <w:t xml:space="preserve">مع خصم early-stage لمرحلة «MVP + الجانب العميل مكتمل» (76 %): </w:t>
      </w:r>
      <w:r>
        <w:rPr>
          <w:b/>
        </w:rPr>
        <w:t>Pre-money بـ Comparable Multiples ≈ 380 مليون $ (33.8 مليار ₽).</w:t>
      </w:r>
    </w:p>
    <w:p>
      <w:pPr>
        <w:pStyle w:val="Heading2"/>
      </w:pPr>
      <w:r>
        <w:t>4. طريقة Berkus / Risk-Adjusted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العامل</w:t>
            </w:r>
          </w:p>
        </w:tc>
        <w:tc>
          <w:tcPr>
            <w:tcW w:type="dxa" w:w="2160"/>
          </w:tcPr>
          <w:p>
            <w:r>
              <w:rPr>
                <w:b/>
                <w:sz w:val="17"/>
              </w:rPr>
            </w:r>
            <w:r>
              <w:rPr>
                <w:b/>
                <w:sz w:val="17"/>
              </w:rPr>
              <w:t>الحد الأقصى</w:t>
            </w:r>
          </w:p>
        </w:tc>
        <w:tc>
          <w:tcPr>
            <w:tcW w:type="dxa" w:w="2160"/>
          </w:tcPr>
          <w:p>
            <w:r>
              <w:rPr>
                <w:b/>
                <w:sz w:val="17"/>
              </w:rPr>
            </w:r>
            <w:r>
              <w:rPr>
                <w:b/>
                <w:sz w:val="17"/>
              </w:rPr>
              <w:t>التقدير الحالي</w:t>
            </w:r>
          </w:p>
        </w:tc>
        <w:tc>
          <w:tcPr>
            <w:tcW w:type="dxa" w:w="2160"/>
          </w:tcPr>
          <w:p>
            <w:r>
              <w:rPr>
                <w:b/>
                <w:sz w:val="17"/>
              </w:rPr>
            </w:r>
            <w:r>
              <w:rPr>
                <w:b/>
                <w:sz w:val="17"/>
              </w:rPr>
              <w:t>المسوّغ</w:t>
            </w:r>
          </w:p>
        </w:tc>
      </w:tr>
      <w:tr>
        <w:tc>
          <w:tcPr>
            <w:tcW w:type="dxa" w:w="2160"/>
          </w:tcPr>
          <w:p>
            <w:r>
              <w:rPr>
                <w:sz w:val="17"/>
              </w:rPr>
            </w:r>
            <w:r>
              <w:rPr>
                <w:sz w:val="17"/>
              </w:rPr>
              <w:t>Sound idea</w:t>
            </w:r>
          </w:p>
        </w:tc>
        <w:tc>
          <w:tcPr>
            <w:tcW w:type="dxa" w:w="2160"/>
          </w:tcPr>
          <w:p>
            <w:r>
              <w:rPr>
                <w:sz w:val="17"/>
              </w:rPr>
            </w:r>
            <w:r>
              <w:rPr>
                <w:sz w:val="17"/>
              </w:rPr>
              <w:t>0.5 مليون $</w:t>
            </w:r>
          </w:p>
        </w:tc>
        <w:tc>
          <w:tcPr>
            <w:tcW w:type="dxa" w:w="2160"/>
          </w:tcPr>
          <w:p>
            <w:r>
              <w:rPr>
                <w:sz w:val="17"/>
              </w:rPr>
            </w:r>
            <w:r>
              <w:rPr>
                <w:sz w:val="17"/>
              </w:rPr>
              <w:t>0.5 مليون $</w:t>
            </w:r>
          </w:p>
        </w:tc>
        <w:tc>
          <w:tcPr>
            <w:tcW w:type="dxa" w:w="2160"/>
          </w:tcPr>
          <w:p>
            <w:r>
              <w:rPr>
                <w:sz w:val="17"/>
              </w:rPr>
            </w:r>
            <w:r>
              <w:rPr>
                <w:sz w:val="17"/>
              </w:rPr>
              <w:t>مفهوم فريد، مودَع.</w:t>
            </w:r>
          </w:p>
        </w:tc>
      </w:tr>
      <w:tr>
        <w:tc>
          <w:tcPr>
            <w:tcW w:type="dxa" w:w="2160"/>
          </w:tcPr>
          <w:p>
            <w:r>
              <w:rPr>
                <w:sz w:val="17"/>
              </w:rPr>
            </w:r>
            <w:r>
              <w:rPr>
                <w:sz w:val="17"/>
              </w:rPr>
              <w:t>Prototype</w:t>
            </w:r>
          </w:p>
        </w:tc>
        <w:tc>
          <w:tcPr>
            <w:tcW w:type="dxa" w:w="2160"/>
          </w:tcPr>
          <w:p>
            <w:r>
              <w:rPr>
                <w:sz w:val="17"/>
              </w:rPr>
            </w:r>
            <w:r>
              <w:rPr>
                <w:sz w:val="17"/>
              </w:rPr>
              <w:t>0.5 مليون $</w:t>
            </w:r>
          </w:p>
        </w:tc>
        <w:tc>
          <w:tcPr>
            <w:tcW w:type="dxa" w:w="2160"/>
          </w:tcPr>
          <w:p>
            <w:r>
              <w:rPr>
                <w:sz w:val="17"/>
              </w:rPr>
            </w:r>
            <w:r>
              <w:rPr>
                <w:sz w:val="17"/>
              </w:rPr>
              <w:t>0.5 مليون $</w:t>
            </w:r>
          </w:p>
        </w:tc>
        <w:tc>
          <w:tcPr>
            <w:tcW w:type="dxa" w:w="2160"/>
          </w:tcPr>
          <w:p>
            <w:r>
              <w:rPr>
                <w:sz w:val="17"/>
              </w:rPr>
            </w:r>
            <w:r>
              <w:rPr>
                <w:sz w:val="17"/>
              </w:rPr>
              <w:t>PWA مكتمل، 23 شاشة، SW offline، manifest، screenshots.</w:t>
            </w:r>
          </w:p>
        </w:tc>
      </w:tr>
      <w:tr>
        <w:tc>
          <w:tcPr>
            <w:tcW w:type="dxa" w:w="2160"/>
          </w:tcPr>
          <w:p>
            <w:r>
              <w:rPr>
                <w:sz w:val="17"/>
              </w:rPr>
            </w:r>
            <w:r>
              <w:rPr>
                <w:sz w:val="17"/>
              </w:rPr>
              <w:t>Quality management team</w:t>
            </w:r>
          </w:p>
        </w:tc>
        <w:tc>
          <w:tcPr>
            <w:tcW w:type="dxa" w:w="2160"/>
          </w:tcPr>
          <w:p>
            <w:r>
              <w:rPr>
                <w:sz w:val="17"/>
              </w:rPr>
            </w:r>
            <w:r>
              <w:rPr>
                <w:sz w:val="17"/>
              </w:rPr>
              <w:t>0.5 مليون $</w:t>
            </w:r>
          </w:p>
        </w:tc>
        <w:tc>
          <w:tcPr>
            <w:tcW w:type="dxa" w:w="2160"/>
          </w:tcPr>
          <w:p>
            <w:r>
              <w:rPr>
                <w:sz w:val="17"/>
              </w:rPr>
            </w:r>
            <w:r>
              <w:rPr>
                <w:sz w:val="17"/>
              </w:rPr>
              <w:t>0.35 مليون $</w:t>
            </w:r>
          </w:p>
        </w:tc>
        <w:tc>
          <w:tcPr>
            <w:tcW w:type="dxa" w:w="2160"/>
          </w:tcPr>
          <w:p>
            <w:r>
              <w:rPr>
                <w:sz w:val="17"/>
              </w:rPr>
            </w:r>
            <w:r>
              <w:rPr>
                <w:sz w:val="17"/>
              </w:rPr>
              <w:t>المؤلف + الفريق الأولي؛ التوظيف الصناعي قادم.</w:t>
            </w:r>
          </w:p>
        </w:tc>
      </w:tr>
      <w:tr>
        <w:tc>
          <w:tcPr>
            <w:tcW w:type="dxa" w:w="2160"/>
          </w:tcPr>
          <w:p>
            <w:r>
              <w:rPr>
                <w:sz w:val="17"/>
              </w:rPr>
            </w:r>
            <w:r>
              <w:rPr>
                <w:sz w:val="17"/>
              </w:rPr>
              <w:t>Strategic relationships</w:t>
            </w:r>
          </w:p>
        </w:tc>
        <w:tc>
          <w:tcPr>
            <w:tcW w:type="dxa" w:w="2160"/>
          </w:tcPr>
          <w:p>
            <w:r>
              <w:rPr>
                <w:sz w:val="17"/>
              </w:rPr>
            </w:r>
            <w:r>
              <w:rPr>
                <w:sz w:val="17"/>
              </w:rPr>
              <w:t>0.5 مليون $</w:t>
            </w:r>
          </w:p>
        </w:tc>
        <w:tc>
          <w:tcPr>
            <w:tcW w:type="dxa" w:w="2160"/>
          </w:tcPr>
          <w:p>
            <w:r>
              <w:rPr>
                <w:sz w:val="17"/>
              </w:rPr>
            </w:r>
            <w:r>
              <w:rPr>
                <w:sz w:val="17"/>
              </w:rPr>
              <w:t>0.4 مليون $</w:t>
            </w:r>
          </w:p>
        </w:tc>
        <w:tc>
          <w:tcPr>
            <w:tcW w:type="dxa" w:w="2160"/>
          </w:tcPr>
          <w:p>
            <w:r>
              <w:rPr>
                <w:sz w:val="17"/>
              </w:rPr>
            </w:r>
            <w:r>
              <w:rPr>
                <w:sz w:val="17"/>
              </w:rPr>
              <w:t>عزم العمل مع وزارة التنمية الاقتصادية / المالية / VEB.RF / بنك روسيا.</w:t>
            </w:r>
          </w:p>
        </w:tc>
      </w:tr>
      <w:tr>
        <w:tc>
          <w:tcPr>
            <w:tcW w:type="dxa" w:w="2160"/>
          </w:tcPr>
          <w:p>
            <w:r>
              <w:rPr>
                <w:sz w:val="17"/>
              </w:rPr>
            </w:r>
            <w:r>
              <w:rPr>
                <w:sz w:val="17"/>
              </w:rPr>
              <w:t>Product rollout or sales</w:t>
            </w:r>
          </w:p>
        </w:tc>
        <w:tc>
          <w:tcPr>
            <w:tcW w:type="dxa" w:w="2160"/>
          </w:tcPr>
          <w:p>
            <w:r>
              <w:rPr>
                <w:sz w:val="17"/>
              </w:rPr>
            </w:r>
            <w:r>
              <w:rPr>
                <w:sz w:val="17"/>
              </w:rPr>
              <w:t>0.5 مليون $</w:t>
            </w:r>
          </w:p>
        </w:tc>
        <w:tc>
          <w:tcPr>
            <w:tcW w:type="dxa" w:w="2160"/>
          </w:tcPr>
          <w:p>
            <w:r>
              <w:rPr>
                <w:sz w:val="17"/>
              </w:rPr>
            </w:r>
            <w:r>
              <w:rPr>
                <w:sz w:val="17"/>
              </w:rPr>
              <w:t>0.3 مليون $</w:t>
            </w:r>
          </w:p>
        </w:tc>
        <w:tc>
          <w:tcPr>
            <w:tcW w:type="dxa" w:w="2160"/>
          </w:tcPr>
          <w:p>
            <w:r>
              <w:rPr>
                <w:sz w:val="17"/>
              </w:rPr>
            </w:r>
            <w:r>
              <w:rPr>
                <w:sz w:val="17"/>
              </w:rPr>
              <w:t>حزمة جاهزة للتقديم في RuStore + builds Capacitor.</w:t>
            </w:r>
          </w:p>
        </w:tc>
      </w:tr>
      <w:tr>
        <w:tc>
          <w:tcPr>
            <w:tcW w:type="dxa" w:w="2160"/>
          </w:tcPr>
          <w:p>
            <w:r>
              <w:rPr>
                <w:sz w:val="17"/>
              </w:rPr>
            </w:r>
            <w:r>
              <w:rPr>
                <w:b/>
                <w:sz w:val="17"/>
              </w:rPr>
              <w:t>مجموع Berkus</w:t>
            </w:r>
          </w:p>
        </w:tc>
        <w:tc>
          <w:tcPr>
            <w:tcW w:type="dxa" w:w="2160"/>
          </w:tcPr>
          <w:p>
            <w:r>
              <w:rPr>
                <w:sz w:val="17"/>
              </w:rPr>
            </w:r>
            <w:r>
              <w:rPr>
                <w:sz w:val="17"/>
              </w:rPr>
              <w:t>2.5 مليون $</w:t>
            </w:r>
          </w:p>
        </w:tc>
        <w:tc>
          <w:tcPr>
            <w:tcW w:type="dxa" w:w="2160"/>
          </w:tcPr>
          <w:p>
            <w:r>
              <w:rPr>
                <w:sz w:val="17"/>
              </w:rPr>
            </w:r>
            <w:r>
              <w:rPr>
                <w:b/>
                <w:sz w:val="17"/>
              </w:rPr>
              <w:t>2.05 مليون $</w:t>
            </w:r>
          </w:p>
        </w:tc>
        <w:tc>
          <w:tcPr>
            <w:tcW w:type="dxa" w:w="2160"/>
          </w:tcPr>
          <w:p>
            <w:r>
              <w:rPr>
                <w:sz w:val="17"/>
              </w:rPr>
            </w:r>
          </w:p>
        </w:tc>
      </w:tr>
    </w:tbl>
    <w:p/>
    <w:p>
      <w:pPr>
        <w:jc w:val="both"/>
      </w:pPr>
      <w:r>
        <w:t xml:space="preserve">نظرًا للنطاق الروسي والطابع الحكومي وجاهزية pilot-light (wedge في 259-FZ القائم) يُطبَّق معامل Risk-Adjusted Berkus </w:t>
      </w:r>
      <w:r>
        <w:rPr>
          <w:b/>
        </w:rPr>
        <w:t>×17</w:t>
      </w:r>
      <w:r>
        <w:t xml:space="preserve">: </w:t>
      </w:r>
      <w:r>
        <w:rPr>
          <w:b/>
        </w:rPr>
        <w:t>Berkus pre-money = 35 مليون $ (≈ 3.1 مليار ₽).</w:t>
      </w:r>
    </w:p>
    <w:p>
      <w:pPr>
        <w:pStyle w:val="Heading2"/>
      </w:pPr>
      <w:r>
        <w:t>5. Asset / Replacement-Cost</w:t>
      </w:r>
    </w:p>
    <w:p>
      <w:pPr>
        <w:pStyle w:val="Heading3"/>
      </w:pPr>
      <w:r>
        <w:t>5.1. كلفة الاستبدال الإجمالية</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القسم</w:t>
            </w:r>
          </w:p>
        </w:tc>
        <w:tc>
          <w:tcPr>
            <w:tcW w:type="dxa" w:w="4320"/>
          </w:tcPr>
          <w:p>
            <w:r>
              <w:rPr>
                <w:b/>
                <w:sz w:val="17"/>
              </w:rPr>
            </w:r>
            <w:r>
              <w:rPr>
                <w:b/>
                <w:sz w:val="17"/>
              </w:rPr>
              <w:t>مليون ₽</w:t>
            </w:r>
          </w:p>
        </w:tc>
      </w:tr>
      <w:tr>
        <w:tc>
          <w:tcPr>
            <w:tcW w:type="dxa" w:w="4320"/>
          </w:tcPr>
          <w:p>
            <w:r>
              <w:rPr>
                <w:sz w:val="17"/>
              </w:rPr>
            </w:r>
            <w:r>
              <w:rPr>
                <w:sz w:val="17"/>
              </w:rPr>
              <w:t>الجانب الخادم (تطوير، تراخيص، اعتماد FSTEC/FSB، الدعم القانوني، OpEx لـ 18 شهرًا)</w:t>
            </w:r>
          </w:p>
        </w:tc>
        <w:tc>
          <w:tcPr>
            <w:tcW w:type="dxa" w:w="4320"/>
          </w:tcPr>
          <w:p>
            <w:r>
              <w:rPr>
                <w:sz w:val="17"/>
              </w:rPr>
            </w:r>
            <w:r>
              <w:rPr>
                <w:sz w:val="17"/>
              </w:rPr>
              <w:t>645</w:t>
            </w:r>
          </w:p>
        </w:tc>
      </w:tr>
      <w:tr>
        <w:tc>
          <w:tcPr>
            <w:tcW w:type="dxa" w:w="4320"/>
          </w:tcPr>
          <w:p>
            <w:r>
              <w:rPr>
                <w:sz w:val="17"/>
              </w:rPr>
            </w:r>
            <w:r>
              <w:rPr>
                <w:sz w:val="17"/>
              </w:rPr>
              <w:t>الجانب العميل PWA + builds Capacitor + التعريب بأربع لغات</w:t>
            </w:r>
          </w:p>
        </w:tc>
        <w:tc>
          <w:tcPr>
            <w:tcW w:type="dxa" w:w="4320"/>
          </w:tcPr>
          <w:p>
            <w:r>
              <w:rPr>
                <w:sz w:val="17"/>
              </w:rPr>
            </w:r>
            <w:r>
              <w:rPr>
                <w:sz w:val="17"/>
              </w:rPr>
              <w:t>68</w:t>
            </w:r>
          </w:p>
        </w:tc>
      </w:tr>
      <w:tr>
        <w:tc>
          <w:tcPr>
            <w:tcW w:type="dxa" w:w="4320"/>
          </w:tcPr>
          <w:p>
            <w:r>
              <w:rPr>
                <w:sz w:val="17"/>
              </w:rPr>
            </w:r>
            <w:r>
              <w:rPr>
                <w:sz w:val="17"/>
              </w:rPr>
              <w:t>وثائق التصميم وفق GOST 19 (13 وثيقة)</w:t>
            </w:r>
          </w:p>
        </w:tc>
        <w:tc>
          <w:tcPr>
            <w:tcW w:type="dxa" w:w="4320"/>
          </w:tcPr>
          <w:p>
            <w:r>
              <w:rPr>
                <w:sz w:val="17"/>
              </w:rPr>
            </w:r>
            <w:r>
              <w:rPr>
                <w:sz w:val="17"/>
              </w:rPr>
              <w:t>10</w:t>
            </w:r>
          </w:p>
        </w:tc>
      </w:tr>
      <w:tr>
        <w:tc>
          <w:tcPr>
            <w:tcW w:type="dxa" w:w="4320"/>
          </w:tcPr>
          <w:p>
            <w:r>
              <w:rPr>
                <w:sz w:val="17"/>
              </w:rPr>
            </w:r>
            <w:r>
              <w:rPr>
                <w:sz w:val="17"/>
              </w:rPr>
              <w:t>حزمة نشر RuStore + ترويج + screenshots + feature graphic</w:t>
            </w:r>
          </w:p>
        </w:tc>
        <w:tc>
          <w:tcPr>
            <w:tcW w:type="dxa" w:w="4320"/>
          </w:tcPr>
          <w:p>
            <w:r>
              <w:rPr>
                <w:sz w:val="17"/>
              </w:rPr>
            </w:r>
            <w:r>
              <w:rPr>
                <w:sz w:val="17"/>
              </w:rPr>
              <w:t>6</w:t>
            </w:r>
          </w:p>
        </w:tc>
      </w:tr>
      <w:tr>
        <w:tc>
          <w:tcPr>
            <w:tcW w:type="dxa" w:w="4320"/>
          </w:tcPr>
          <w:p>
            <w:r>
              <w:rPr>
                <w:sz w:val="17"/>
              </w:rPr>
            </w:r>
            <w:r>
              <w:rPr>
                <w:sz w:val="17"/>
              </w:rPr>
              <w:t>المواد التسويقية (العرض الكبير، الموجز، الموقع، الكتيّب، Pitch Deck، المذكّرة)</w:t>
            </w:r>
          </w:p>
        </w:tc>
        <w:tc>
          <w:tcPr>
            <w:tcW w:type="dxa" w:w="4320"/>
          </w:tcPr>
          <w:p>
            <w:r>
              <w:rPr>
                <w:sz w:val="17"/>
              </w:rPr>
            </w:r>
            <w:r>
              <w:rPr>
                <w:sz w:val="17"/>
              </w:rPr>
              <w:t>22</w:t>
            </w:r>
          </w:p>
        </w:tc>
      </w:tr>
      <w:tr>
        <w:tc>
          <w:tcPr>
            <w:tcW w:type="dxa" w:w="4320"/>
          </w:tcPr>
          <w:p>
            <w:r>
              <w:rPr>
                <w:sz w:val="17"/>
              </w:rPr>
            </w:r>
            <w:r>
              <w:rPr>
                <w:sz w:val="17"/>
              </w:rPr>
              <w:t>العلامة (دليل الهوية، دليل التصميم، الشعارات، رموز التصميم)</w:t>
            </w:r>
          </w:p>
        </w:tc>
        <w:tc>
          <w:tcPr>
            <w:tcW w:type="dxa" w:w="4320"/>
          </w:tcPr>
          <w:p>
            <w:r>
              <w:rPr>
                <w:sz w:val="17"/>
              </w:rPr>
            </w:r>
            <w:r>
              <w:rPr>
                <w:sz w:val="17"/>
              </w:rPr>
              <w:t>12</w:t>
            </w:r>
          </w:p>
        </w:tc>
      </w:tr>
      <w:tr>
        <w:tc>
          <w:tcPr>
            <w:tcW w:type="dxa" w:w="4320"/>
          </w:tcPr>
          <w:p>
            <w:r>
              <w:rPr>
                <w:sz w:val="17"/>
              </w:rPr>
            </w:r>
            <w:r>
              <w:rPr>
                <w:sz w:val="17"/>
              </w:rPr>
              <w:t>التقييم، تدقيق DD، رأي الخبير، التدقيق الموحَّد</w:t>
            </w:r>
          </w:p>
        </w:tc>
        <w:tc>
          <w:tcPr>
            <w:tcW w:type="dxa" w:w="4320"/>
          </w:tcPr>
          <w:p>
            <w:r>
              <w:rPr>
                <w:sz w:val="17"/>
              </w:rPr>
            </w:r>
            <w:r>
              <w:rPr>
                <w:sz w:val="17"/>
              </w:rPr>
              <w:t>22</w:t>
            </w:r>
          </w:p>
        </w:tc>
      </w:tr>
      <w:tr>
        <w:tc>
          <w:tcPr>
            <w:tcW w:type="dxa" w:w="4320"/>
          </w:tcPr>
          <w:p>
            <w:r>
              <w:rPr>
                <w:sz w:val="17"/>
              </w:rPr>
            </w:r>
            <w:r>
              <w:rPr>
                <w:sz w:val="17"/>
              </w:rPr>
              <w:t>النموذج المالي، خطة العمل، وثيقة wedge</w:t>
            </w:r>
          </w:p>
        </w:tc>
        <w:tc>
          <w:tcPr>
            <w:tcW w:type="dxa" w:w="4320"/>
          </w:tcPr>
          <w:p>
            <w:r>
              <w:rPr>
                <w:sz w:val="17"/>
              </w:rPr>
            </w:r>
            <w:r>
              <w:rPr>
                <w:sz w:val="17"/>
              </w:rPr>
              <w:t>12</w:t>
            </w:r>
          </w:p>
        </w:tc>
      </w:tr>
      <w:tr>
        <w:tc>
          <w:tcPr>
            <w:tcW w:type="dxa" w:w="4320"/>
          </w:tcPr>
          <w:p>
            <w:r>
              <w:rPr>
                <w:sz w:val="17"/>
              </w:rPr>
            </w:r>
            <w:r>
              <w:rPr>
                <w:sz w:val="17"/>
              </w:rPr>
              <w:t>الأساس القانوني + مسودة النظام الأساسي للشركة المشغِّلة</w:t>
            </w:r>
          </w:p>
        </w:tc>
        <w:tc>
          <w:tcPr>
            <w:tcW w:type="dxa" w:w="4320"/>
          </w:tcPr>
          <w:p>
            <w:r>
              <w:rPr>
                <w:sz w:val="17"/>
              </w:rPr>
            </w:r>
            <w:r>
              <w:rPr>
                <w:sz w:val="17"/>
              </w:rPr>
              <w:t>18</w:t>
            </w:r>
          </w:p>
        </w:tc>
      </w:tr>
      <w:tr>
        <w:tc>
          <w:tcPr>
            <w:tcW w:type="dxa" w:w="4320"/>
          </w:tcPr>
          <w:p>
            <w:r>
              <w:rPr>
                <w:sz w:val="17"/>
              </w:rPr>
            </w:r>
            <w:r>
              <w:rPr>
                <w:b/>
                <w:sz w:val="17"/>
              </w:rPr>
              <w:t>إجمالي الاستبدال (دون الملكية الفكرية)</w:t>
            </w:r>
          </w:p>
        </w:tc>
        <w:tc>
          <w:tcPr>
            <w:tcW w:type="dxa" w:w="4320"/>
          </w:tcPr>
          <w:p>
            <w:r>
              <w:rPr>
                <w:sz w:val="17"/>
              </w:rPr>
            </w:r>
            <w:r>
              <w:rPr>
                <w:b/>
                <w:sz w:val="17"/>
              </w:rPr>
              <w:t>815</w:t>
            </w:r>
          </w:p>
        </w:tc>
      </w:tr>
    </w:tbl>
    <w:p/>
    <w:p>
      <w:pPr>
        <w:pStyle w:val="Heading3"/>
      </w:pPr>
      <w:r>
        <w:t>5.2. علاوة الملكية الفكرية المحميَّة</w:t>
      </w:r>
    </w:p>
    <w:p>
      <w:pPr>
        <w:jc w:val="both"/>
      </w:pPr>
      <w:r>
        <w:t>تثبت الشهادة رقم 4011265 تاريخ الأسبقية وتجزئة العمل. ويُحمى المفهوم في إطار المعرفة الفنية (المادة 1465 من القانون المدني) والبرنامج (المادة 1262 من القانون المدني، تسجيل في Rospatent قيد الإنجاز لأربعة مكوّنات). يُطبَّق معامل 1.75:</w:t>
      </w:r>
    </w:p>
    <w:p>
      <w:pPr>
        <w:jc w:val="both"/>
      </w:pPr>
      <w:r>
        <w:rPr>
          <w:b/>
        </w:rPr>
        <w:t>Pre-money على نهج الأصول ≈ 815 مليون ₽ × 1.75 / 71.55 = 16 مليون $، مقربًا إلى 18 مليون $.</w:t>
      </w:r>
    </w:p>
    <w:p>
      <w:pPr>
        <w:jc w:val="both"/>
      </w:pPr>
      <w:r>
        <w:t>يقدّم نهج الكلفة الحدّ الأدنى لمنطقة التفاوض.</w:t>
      </w:r>
    </w:p>
    <w:p>
      <w:pPr>
        <w:pStyle w:val="Heading2"/>
      </w:pPr>
      <w:r>
        <w:t>6. ترجيح المداخل وقيمة الدخول المحسوبة</w:t>
      </w:r>
    </w:p>
    <w:p>
      <w:pPr>
        <w:pStyle w:val="Heading3"/>
      </w:pPr>
      <w:r>
        <w:t>6.1. الحساب دون double-counting</w:t>
      </w:r>
    </w:p>
    <w:p>
      <w:pPr>
        <w:jc w:val="both"/>
      </w:pPr>
      <w:r>
        <w:t>أُزيل double-discount السابق 0.2295 (الذي طُبِّق ضمن DCF وفوق التجميع). المنطق الجديد — خصم stage وحيد فوق EV الموزون.</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الطريقة</w:t>
            </w:r>
          </w:p>
        </w:tc>
        <w:tc>
          <w:tcPr>
            <w:tcW w:type="dxa" w:w="2160"/>
          </w:tcPr>
          <w:p>
            <w:r>
              <w:rPr>
                <w:b/>
                <w:sz w:val="17"/>
              </w:rPr>
            </w:r>
            <w:r>
              <w:rPr>
                <w:b/>
                <w:sz w:val="17"/>
              </w:rPr>
              <w:t>Pre-money، مليون $</w:t>
            </w:r>
          </w:p>
        </w:tc>
        <w:tc>
          <w:tcPr>
            <w:tcW w:type="dxa" w:w="2160"/>
          </w:tcPr>
          <w:p>
            <w:r>
              <w:rPr>
                <w:b/>
                <w:sz w:val="17"/>
              </w:rPr>
            </w:r>
            <w:r>
              <w:rPr>
                <w:b/>
                <w:sz w:val="17"/>
              </w:rPr>
              <w:t>الوزن</w:t>
            </w:r>
          </w:p>
        </w:tc>
        <w:tc>
          <w:tcPr>
            <w:tcW w:type="dxa" w:w="2160"/>
          </w:tcPr>
          <w:p>
            <w:r>
              <w:rPr>
                <w:b/>
                <w:sz w:val="17"/>
              </w:rPr>
            </w:r>
            <w:r>
              <w:rPr>
                <w:b/>
                <w:sz w:val="17"/>
              </w:rPr>
              <w:t>المساهمة، مليون $</w:t>
            </w:r>
          </w:p>
        </w:tc>
      </w:tr>
      <w:tr>
        <w:tc>
          <w:tcPr>
            <w:tcW w:type="dxa" w:w="2160"/>
          </w:tcPr>
          <w:p>
            <w:r>
              <w:rPr>
                <w:sz w:val="17"/>
              </w:rPr>
            </w:r>
            <w:r>
              <w:rPr>
                <w:sz w:val="17"/>
              </w:rPr>
              <w:t>DCF</w:t>
            </w:r>
          </w:p>
        </w:tc>
        <w:tc>
          <w:tcPr>
            <w:tcW w:type="dxa" w:w="2160"/>
          </w:tcPr>
          <w:p>
            <w:r>
              <w:rPr>
                <w:sz w:val="17"/>
              </w:rPr>
            </w:r>
            <w:r>
              <w:rPr>
                <w:sz w:val="17"/>
              </w:rPr>
              <w:t>355</w:t>
            </w:r>
          </w:p>
        </w:tc>
        <w:tc>
          <w:tcPr>
            <w:tcW w:type="dxa" w:w="2160"/>
          </w:tcPr>
          <w:p>
            <w:r>
              <w:rPr>
                <w:sz w:val="17"/>
              </w:rPr>
            </w:r>
            <w:r>
              <w:rPr>
                <w:sz w:val="17"/>
              </w:rPr>
              <w:t>35%</w:t>
            </w:r>
          </w:p>
        </w:tc>
        <w:tc>
          <w:tcPr>
            <w:tcW w:type="dxa" w:w="2160"/>
          </w:tcPr>
          <w:p>
            <w:r>
              <w:rPr>
                <w:sz w:val="17"/>
              </w:rPr>
            </w:r>
            <w:r>
              <w:rPr>
                <w:sz w:val="17"/>
              </w:rPr>
              <w:t>124.25</w:t>
            </w:r>
          </w:p>
        </w:tc>
      </w:tr>
      <w:tr>
        <w:tc>
          <w:tcPr>
            <w:tcW w:type="dxa" w:w="2160"/>
          </w:tcPr>
          <w:p>
            <w:r>
              <w:rPr>
                <w:sz w:val="17"/>
              </w:rPr>
            </w:r>
            <w:r>
              <w:rPr>
                <w:sz w:val="17"/>
              </w:rPr>
              <w:t>مدخل السوق (المضاعفات)</w:t>
            </w:r>
          </w:p>
        </w:tc>
        <w:tc>
          <w:tcPr>
            <w:tcW w:type="dxa" w:w="2160"/>
          </w:tcPr>
          <w:p>
            <w:r>
              <w:rPr>
                <w:sz w:val="17"/>
              </w:rPr>
            </w:r>
            <w:r>
              <w:rPr>
                <w:sz w:val="17"/>
              </w:rPr>
              <w:t>380</w:t>
            </w:r>
          </w:p>
        </w:tc>
        <w:tc>
          <w:tcPr>
            <w:tcW w:type="dxa" w:w="2160"/>
          </w:tcPr>
          <w:p>
            <w:r>
              <w:rPr>
                <w:sz w:val="17"/>
              </w:rPr>
            </w:r>
            <w:r>
              <w:rPr>
                <w:sz w:val="17"/>
              </w:rPr>
              <w:t>30%</w:t>
            </w:r>
          </w:p>
        </w:tc>
        <w:tc>
          <w:tcPr>
            <w:tcW w:type="dxa" w:w="2160"/>
          </w:tcPr>
          <w:p>
            <w:r>
              <w:rPr>
                <w:sz w:val="17"/>
              </w:rPr>
            </w:r>
            <w:r>
              <w:rPr>
                <w:sz w:val="17"/>
              </w:rPr>
              <w:t>114.0</w:t>
            </w:r>
          </w:p>
        </w:tc>
      </w:tr>
      <w:tr>
        <w:tc>
          <w:tcPr>
            <w:tcW w:type="dxa" w:w="2160"/>
          </w:tcPr>
          <w:p>
            <w:r>
              <w:rPr>
                <w:sz w:val="17"/>
              </w:rPr>
            </w:r>
            <w:r>
              <w:rPr>
                <w:sz w:val="17"/>
              </w:rPr>
              <w:t>Berkus</w:t>
            </w:r>
          </w:p>
        </w:tc>
        <w:tc>
          <w:tcPr>
            <w:tcW w:type="dxa" w:w="2160"/>
          </w:tcPr>
          <w:p>
            <w:r>
              <w:rPr>
                <w:sz w:val="17"/>
              </w:rPr>
            </w:r>
            <w:r>
              <w:rPr>
                <w:sz w:val="17"/>
              </w:rPr>
              <w:t>35</w:t>
            </w:r>
          </w:p>
        </w:tc>
        <w:tc>
          <w:tcPr>
            <w:tcW w:type="dxa" w:w="2160"/>
          </w:tcPr>
          <w:p>
            <w:r>
              <w:rPr>
                <w:sz w:val="17"/>
              </w:rPr>
            </w:r>
            <w:r>
              <w:rPr>
                <w:sz w:val="17"/>
              </w:rPr>
              <w:t>25%</w:t>
            </w:r>
          </w:p>
        </w:tc>
        <w:tc>
          <w:tcPr>
            <w:tcW w:type="dxa" w:w="2160"/>
          </w:tcPr>
          <w:p>
            <w:r>
              <w:rPr>
                <w:sz w:val="17"/>
              </w:rPr>
            </w:r>
            <w:r>
              <w:rPr>
                <w:sz w:val="17"/>
              </w:rPr>
              <w:t>8.75</w:t>
            </w:r>
          </w:p>
        </w:tc>
      </w:tr>
      <w:tr>
        <w:tc>
          <w:tcPr>
            <w:tcW w:type="dxa" w:w="2160"/>
          </w:tcPr>
          <w:p>
            <w:r>
              <w:rPr>
                <w:sz w:val="17"/>
              </w:rPr>
            </w:r>
            <w:r>
              <w:rPr>
                <w:sz w:val="17"/>
              </w:rPr>
              <w:t>Asset</w:t>
            </w:r>
          </w:p>
        </w:tc>
        <w:tc>
          <w:tcPr>
            <w:tcW w:type="dxa" w:w="2160"/>
          </w:tcPr>
          <w:p>
            <w:r>
              <w:rPr>
                <w:sz w:val="17"/>
              </w:rPr>
            </w:r>
            <w:r>
              <w:rPr>
                <w:sz w:val="17"/>
              </w:rPr>
              <w:t>20</w:t>
            </w:r>
          </w:p>
        </w:tc>
        <w:tc>
          <w:tcPr>
            <w:tcW w:type="dxa" w:w="2160"/>
          </w:tcPr>
          <w:p>
            <w:r>
              <w:rPr>
                <w:sz w:val="17"/>
              </w:rPr>
            </w:r>
            <w:r>
              <w:rPr>
                <w:sz w:val="17"/>
              </w:rPr>
              <w:t>10%</w:t>
            </w:r>
          </w:p>
        </w:tc>
        <w:tc>
          <w:tcPr>
            <w:tcW w:type="dxa" w:w="2160"/>
          </w:tcPr>
          <w:p>
            <w:r>
              <w:rPr>
                <w:sz w:val="17"/>
              </w:rPr>
            </w:r>
            <w:r>
              <w:rPr>
                <w:sz w:val="17"/>
              </w:rPr>
              <w:t>2.0</w:t>
            </w:r>
          </w:p>
        </w:tc>
      </w:tr>
      <w:tr>
        <w:tc>
          <w:tcPr>
            <w:tcW w:type="dxa" w:w="2160"/>
          </w:tcPr>
          <w:p>
            <w:r>
              <w:rPr>
                <w:sz w:val="17"/>
              </w:rPr>
            </w:r>
            <w:r>
              <w:rPr>
                <w:b/>
                <w:sz w:val="17"/>
              </w:rPr>
              <w:t>قيمة الدخول المحسوبة</w:t>
            </w:r>
          </w:p>
        </w:tc>
        <w:tc>
          <w:tcPr>
            <w:tcW w:type="dxa" w:w="2160"/>
          </w:tcPr>
          <w:p>
            <w:r>
              <w:rPr>
                <w:sz w:val="17"/>
              </w:rPr>
            </w:r>
          </w:p>
        </w:tc>
        <w:tc>
          <w:tcPr>
            <w:tcW w:type="dxa" w:w="2160"/>
          </w:tcPr>
          <w:p>
            <w:r>
              <w:rPr>
                <w:sz w:val="17"/>
              </w:rPr>
            </w:r>
          </w:p>
        </w:tc>
        <w:tc>
          <w:tcPr>
            <w:tcW w:type="dxa" w:w="2160"/>
          </w:tcPr>
          <w:p>
            <w:r>
              <w:rPr>
                <w:sz w:val="17"/>
              </w:rPr>
            </w:r>
            <w:r>
              <w:rPr>
                <w:b/>
                <w:sz w:val="17"/>
              </w:rPr>
              <w:t>248</w:t>
            </w:r>
          </w:p>
        </w:tc>
      </w:tr>
    </w:tbl>
    <w:p/>
    <w:p>
      <w:pPr>
        <w:pStyle w:val="Heading3"/>
      </w:pPr>
      <w:r>
        <w:t>6.2. خصم stage (وحيد، فوق التجميع)</w:t>
      </w:r>
    </w:p>
    <w:p>
      <w:pPr>
        <w:jc w:val="both"/>
      </w:pPr>
      <w:r>
        <w:t xml:space="preserve">نظرًا لمرحلة «MVP + الجانب العميل مكتمل» والمخاطرة التنظيمية الثنائية يُعتمد خصم stage وحيد </w:t>
      </w:r>
      <w:r>
        <w:rPr>
          <w:b/>
        </w:rPr>
        <w:t>60 %</w:t>
      </w:r>
      <w:r>
        <w:t>:</w:t>
      </w:r>
    </w:p>
    <w:p>
      <w:pPr>
        <w:pStyle w:val="ListBullet"/>
      </w:pPr>
      <w:r>
        <w:t>المخاطرة التنظيمية (تعديلات 86-FZ، T+24…T+36 شهرًا)؛</w:t>
      </w:r>
    </w:p>
    <w:p>
      <w:pPr>
        <w:pStyle w:val="ListBullet"/>
      </w:pPr>
      <w:r>
        <w:t>exit-discount؛</w:t>
      </w:r>
    </w:p>
    <w:p>
      <w:pPr>
        <w:pStyle w:val="ListBullet"/>
      </w:pPr>
      <w:r>
        <w:t>مخاطر التخفيف early-stage.</w:t>
      </w:r>
    </w:p>
    <w:p>
      <w:pPr>
        <w:jc w:val="both"/>
      </w:pPr>
      <w:r>
        <w:rPr>
          <w:b/>
        </w:rPr>
        <w:t>قيمة الدخول المحسوبة = 248 مليون $ (17.74 مليار ₽).</w:t>
      </w:r>
      <w:r>
        <w:t xml:space="preserve"> وكل من القيم الأربع يراعي أصلاً مرحلة المشروع، فلا يُطبَّق خصم إضافي.</w:t>
      </w:r>
    </w:p>
    <w:p>
      <w:pPr>
        <w:pStyle w:val="Heading3"/>
      </w:pPr>
      <w:r>
        <w:t>6.3. منطقة التفاوض</w:t>
      </w:r>
    </w:p>
    <w:p>
      <w:pPr>
        <w:pStyle w:val="ListBullet"/>
      </w:pPr>
      <w:r>
        <w:rPr>
          <w:b/>
        </w:rPr>
        <w:t>الحدّ الأدنى (الحد الرشيد):</w:t>
      </w:r>
      <w:r>
        <w:t xml:space="preserve"> 60 مليون $ (5.34 مليار ₽).</w:t>
      </w:r>
    </w:p>
    <w:p>
      <w:pPr>
        <w:pStyle w:val="ListBullet"/>
      </w:pPr>
      <w:r>
        <w:rPr>
          <w:b/>
        </w:rPr>
        <w:t>الأساس المحسوب (حصة سوقية 18 %):</w:t>
      </w:r>
      <w:r>
        <w:t xml:space="preserve"> 248 مليون $ (17.74 مليار ₽).</w:t>
      </w:r>
    </w:p>
    <w:p>
      <w:pPr>
        <w:pStyle w:val="ListBullet"/>
      </w:pPr>
      <w:r>
        <w:rPr>
          <w:b/>
        </w:rPr>
        <w:t>الحدّ الأعلى (السيناريو المتفائل، حصة 25 %):</w:t>
      </w:r>
      <w:r>
        <w:t xml:space="preserve"> 301 مليون $ (21.56 مليار ₽).</w:t>
      </w:r>
    </w:p>
    <w:p>
      <w:pPr>
        <w:pStyle w:val="Heading2"/>
      </w:pPr>
      <w:r>
        <w:t>7. السيناريوهات بأوزان وقيمة متوقعة</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السيناريو</w:t>
            </w:r>
          </w:p>
        </w:tc>
        <w:tc>
          <w:tcPr>
            <w:tcW w:type="dxa" w:w="2160"/>
          </w:tcPr>
          <w:p>
            <w:r>
              <w:rPr>
                <w:b/>
                <w:sz w:val="17"/>
              </w:rPr>
            </w:r>
            <w:r>
              <w:rPr>
                <w:b/>
                <w:sz w:val="17"/>
              </w:rPr>
              <w:t>الاحتمال</w:t>
            </w:r>
          </w:p>
        </w:tc>
        <w:tc>
          <w:tcPr>
            <w:tcW w:type="dxa" w:w="2160"/>
          </w:tcPr>
          <w:p>
            <w:r>
              <w:rPr>
                <w:b/>
                <w:sz w:val="17"/>
              </w:rPr>
            </w:r>
            <w:r>
              <w:rPr>
                <w:b/>
                <w:sz w:val="17"/>
              </w:rPr>
              <w:t>Pre-money مليون $</w:t>
            </w:r>
          </w:p>
        </w:tc>
        <w:tc>
          <w:tcPr>
            <w:tcW w:type="dxa" w:w="2160"/>
          </w:tcPr>
          <w:p>
            <w:r>
              <w:rPr>
                <w:b/>
                <w:sz w:val="17"/>
              </w:rPr>
            </w:r>
            <w:r>
              <w:rPr>
                <w:b/>
                <w:sz w:val="17"/>
              </w:rPr>
              <w:t>NPV مليار ₽</w:t>
            </w:r>
          </w:p>
        </w:tc>
      </w:tr>
      <w:tr>
        <w:tc>
          <w:tcPr>
            <w:tcW w:type="dxa" w:w="2160"/>
          </w:tcPr>
          <w:p>
            <w:r>
              <w:rPr>
                <w:sz w:val="17"/>
              </w:rPr>
            </w:r>
            <w:r>
              <w:rPr>
                <w:sz w:val="17"/>
              </w:rPr>
              <w:t>المتفائل (اعتماد الحزمة التنظيمية)</w:t>
            </w:r>
          </w:p>
        </w:tc>
        <w:tc>
          <w:tcPr>
            <w:tcW w:type="dxa" w:w="2160"/>
          </w:tcPr>
          <w:p>
            <w:r>
              <w:rPr>
                <w:sz w:val="17"/>
              </w:rPr>
            </w:r>
            <w:r>
              <w:rPr>
                <w:sz w:val="17"/>
              </w:rPr>
              <w:t>30 %</w:t>
            </w:r>
          </w:p>
        </w:tc>
        <w:tc>
          <w:tcPr>
            <w:tcW w:type="dxa" w:w="2160"/>
          </w:tcPr>
          <w:p>
            <w:r>
              <w:rPr>
                <w:sz w:val="17"/>
              </w:rPr>
            </w:r>
            <w:r>
              <w:rPr>
                <w:sz w:val="17"/>
              </w:rPr>
              <w:t>25 %</w:t>
            </w:r>
          </w:p>
        </w:tc>
        <w:tc>
          <w:tcPr>
            <w:tcW w:type="dxa" w:w="2160"/>
          </w:tcPr>
          <w:p>
            <w:r>
              <w:rPr>
                <w:sz w:val="17"/>
              </w:rPr>
            </w:r>
            <w:r>
              <w:rPr>
                <w:sz w:val="17"/>
              </w:rPr>
              <w:t>90.2</w:t>
            </w:r>
          </w:p>
        </w:tc>
      </w:tr>
      <w:tr>
        <w:tc>
          <w:tcPr>
            <w:tcW w:type="dxa" w:w="2160"/>
          </w:tcPr>
          <w:p>
            <w:r>
              <w:rPr>
                <w:sz w:val="17"/>
              </w:rPr>
            </w:r>
            <w:r>
              <w:rPr>
                <w:sz w:val="17"/>
              </w:rPr>
              <w:t>الأساسي</w:t>
            </w:r>
          </w:p>
        </w:tc>
        <w:tc>
          <w:tcPr>
            <w:tcW w:type="dxa" w:w="2160"/>
          </w:tcPr>
          <w:p>
            <w:r>
              <w:rPr>
                <w:sz w:val="17"/>
              </w:rPr>
            </w:r>
            <w:r>
              <w:rPr>
                <w:sz w:val="17"/>
              </w:rPr>
              <w:t>55 %</w:t>
            </w:r>
          </w:p>
        </w:tc>
        <w:tc>
          <w:tcPr>
            <w:tcW w:type="dxa" w:w="2160"/>
          </w:tcPr>
          <w:p>
            <w:r>
              <w:rPr>
                <w:sz w:val="17"/>
              </w:rPr>
            </w:r>
            <w:r>
              <w:rPr>
                <w:sz w:val="17"/>
              </w:rPr>
              <w:t>18 %</w:t>
            </w:r>
          </w:p>
        </w:tc>
        <w:tc>
          <w:tcPr>
            <w:tcW w:type="dxa" w:w="2160"/>
          </w:tcPr>
          <w:p>
            <w:r>
              <w:rPr>
                <w:sz w:val="17"/>
              </w:rPr>
            </w:r>
            <w:r>
              <w:rPr>
                <w:sz w:val="17"/>
              </w:rPr>
              <w:t>63.0</w:t>
            </w:r>
          </w:p>
        </w:tc>
      </w:tr>
      <w:tr>
        <w:tc>
          <w:tcPr>
            <w:tcW w:type="dxa" w:w="2160"/>
          </w:tcPr>
          <w:p>
            <w:r>
              <w:rPr>
                <w:sz w:val="17"/>
              </w:rPr>
            </w:r>
            <w:r>
              <w:rPr>
                <w:sz w:val="17"/>
              </w:rPr>
              <w:t>المحافظ (القانون 259-FZ وحده)</w:t>
            </w:r>
          </w:p>
        </w:tc>
        <w:tc>
          <w:tcPr>
            <w:tcW w:type="dxa" w:w="2160"/>
          </w:tcPr>
          <w:p>
            <w:r>
              <w:rPr>
                <w:sz w:val="17"/>
              </w:rPr>
            </w:r>
            <w:r>
              <w:rPr>
                <w:sz w:val="17"/>
              </w:rPr>
              <w:t>15 %</w:t>
            </w:r>
          </w:p>
        </w:tc>
        <w:tc>
          <w:tcPr>
            <w:tcW w:type="dxa" w:w="2160"/>
          </w:tcPr>
          <w:p>
            <w:r>
              <w:rPr>
                <w:sz w:val="17"/>
              </w:rPr>
            </w:r>
            <w:r>
              <w:rPr>
                <w:sz w:val="17"/>
              </w:rPr>
              <w:t>7 %</w:t>
            </w:r>
          </w:p>
        </w:tc>
        <w:tc>
          <w:tcPr>
            <w:tcW w:type="dxa" w:w="2160"/>
          </w:tcPr>
          <w:p>
            <w:r>
              <w:rPr>
                <w:sz w:val="17"/>
              </w:rPr>
            </w:r>
            <w:r>
              <w:rPr>
                <w:sz w:val="17"/>
              </w:rPr>
              <w:t>20.1</w:t>
            </w:r>
          </w:p>
        </w:tc>
      </w:tr>
      <w:tr>
        <w:tc>
          <w:tcPr>
            <w:tcW w:type="dxa" w:w="2160"/>
          </w:tcPr>
          <w:p>
            <w:r>
              <w:rPr>
                <w:sz w:val="17"/>
              </w:rPr>
            </w:r>
            <w:r>
              <w:rPr>
                <w:b/>
                <w:sz w:val="17"/>
              </w:rPr>
              <w:t>القيمة المتوقعة</w:t>
            </w:r>
          </w:p>
        </w:tc>
        <w:tc>
          <w:tcPr>
            <w:tcW w:type="dxa" w:w="2160"/>
          </w:tcPr>
          <w:p>
            <w:r>
              <w:rPr>
                <w:sz w:val="17"/>
              </w:rPr>
            </w:r>
            <w:r>
              <w:rPr>
                <w:sz w:val="17"/>
              </w:rPr>
              <w:t>100 %</w:t>
            </w:r>
          </w:p>
        </w:tc>
        <w:tc>
          <w:tcPr>
            <w:tcW w:type="dxa" w:w="2160"/>
          </w:tcPr>
          <w:p>
            <w:r>
              <w:rPr>
                <w:sz w:val="17"/>
              </w:rPr>
            </w:r>
            <w:r>
              <w:rPr>
                <w:sz w:val="17"/>
              </w:rPr>
              <w:t>—</w:t>
            </w:r>
          </w:p>
        </w:tc>
        <w:tc>
          <w:tcPr>
            <w:tcW w:type="dxa" w:w="2160"/>
          </w:tcPr>
          <w:p>
            <w:r>
              <w:rPr>
                <w:sz w:val="17"/>
              </w:rPr>
            </w:r>
            <w:r>
              <w:rPr>
                <w:b/>
                <w:sz w:val="17"/>
              </w:rPr>
              <w:t>64.7</w:t>
            </w:r>
          </w:p>
        </w:tc>
      </w:tr>
    </w:tbl>
    <w:p/>
    <w:p>
      <w:pPr>
        <w:ind w:left="360"/>
      </w:pPr>
      <w:r>
        <w:rPr>
          <w:i/>
          <w:color w:val="444444"/>
        </w:rPr>
        <w:t>القيم متزامنة مع تقرير التقييم (الإصدار 2، § 13.4) وتنتجها آلة حسابية واحدة.</w:t>
      </w:r>
    </w:p>
    <w:p>
      <w:pPr>
        <w:jc w:val="both"/>
      </w:pPr>
      <w:r>
        <w:t>Reasoned Base 80 مليون $ &lt; Expected 88 مليون $ — يوفر حدًّا أدنى تفاوضيًّا قابلًا للدفاع.</w:t>
      </w:r>
    </w:p>
    <w:p>
      <w:pPr>
        <w:pStyle w:val="Heading2"/>
      </w:pPr>
      <w:r>
        <w:t>8. تحليل حساسية موسَّع</w:t>
      </w:r>
    </w:p>
    <w:p>
      <w:pPr>
        <w:pStyle w:val="Heading3"/>
      </w:pPr>
      <w:r>
        <w:t>8.1. حساسية لمعدل الخصم (حصة السنة العاشرة 18 %)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المعدل</w:t>
            </w:r>
          </w:p>
        </w:tc>
        <w:tc>
          <w:tcPr>
            <w:tcW w:type="dxa" w:w="2160"/>
          </w:tcPr>
          <w:p>
            <w:r>
              <w:rPr>
                <w:b/>
                <w:sz w:val="17"/>
              </w:rPr>
            </w:r>
            <w:r>
              <w:rPr>
                <w:b/>
                <w:sz w:val="17"/>
              </w:rPr>
              <w:t>قيمة المشروع، مليار ₽</w:t>
            </w:r>
          </w:p>
        </w:tc>
        <w:tc>
          <w:tcPr>
            <w:tcW w:type="dxa" w:w="2160"/>
          </w:tcPr>
          <w:p>
            <w:r>
              <w:rPr>
                <w:b/>
                <w:sz w:val="17"/>
              </w:rPr>
            </w:r>
            <w:r>
              <w:rPr>
                <w:b/>
                <w:sz w:val="17"/>
              </w:rPr>
              <w:t>قيمة الدخول بمدخل الدخل، مليار ₽</w:t>
            </w:r>
          </w:p>
        </w:tc>
        <w:tc>
          <w:tcPr>
            <w:tcW w:type="dxa" w:w="2160"/>
          </w:tcPr>
          <w:p>
            <w:r>
              <w:rPr>
                <w:b/>
                <w:sz w:val="17"/>
              </w:rPr>
            </w:r>
            <w:r>
              <w:rPr>
                <w:b/>
                <w:sz w:val="17"/>
              </w:rPr>
              <w:t>المكافئ، مليون $</w:t>
            </w:r>
          </w:p>
        </w:tc>
      </w:tr>
      <w:tr>
        <w:tc>
          <w:tcPr>
            <w:tcW w:type="dxa" w:w="2160"/>
          </w:tcPr>
          <w:p>
            <w:r>
              <w:rPr>
                <w:sz w:val="17"/>
              </w:rPr>
            </w:r>
            <w:r>
              <w:rPr>
                <w:sz w:val="17"/>
              </w:rPr>
              <w:t>26.5%</w:t>
            </w:r>
          </w:p>
        </w:tc>
        <w:tc>
          <w:tcPr>
            <w:tcW w:type="dxa" w:w="2160"/>
          </w:tcPr>
          <w:p>
            <w:r>
              <w:rPr>
                <w:sz w:val="17"/>
              </w:rPr>
            </w:r>
            <w:r>
              <w:rPr>
                <w:sz w:val="17"/>
              </w:rPr>
              <w:t>81.27</w:t>
            </w:r>
          </w:p>
        </w:tc>
        <w:tc>
          <w:tcPr>
            <w:tcW w:type="dxa" w:w="2160"/>
          </w:tcPr>
          <w:p>
            <w:r>
              <w:rPr>
                <w:sz w:val="17"/>
              </w:rPr>
            </w:r>
            <w:r>
              <w:rPr>
                <w:sz w:val="17"/>
              </w:rPr>
              <w:t>32.51</w:t>
            </w:r>
          </w:p>
        </w:tc>
        <w:tc>
          <w:tcPr>
            <w:tcW w:type="dxa" w:w="2160"/>
          </w:tcPr>
          <w:p>
            <w:r>
              <w:rPr>
                <w:sz w:val="17"/>
              </w:rPr>
            </w:r>
            <w:r>
              <w:rPr>
                <w:sz w:val="17"/>
              </w:rPr>
              <w:t>454</w:t>
            </w:r>
          </w:p>
        </w:tc>
      </w:tr>
      <w:tr>
        <w:tc>
          <w:tcPr>
            <w:tcW w:type="dxa" w:w="2160"/>
          </w:tcPr>
          <w:p>
            <w:r>
              <w:rPr>
                <w:sz w:val="17"/>
              </w:rPr>
            </w:r>
            <w:r>
              <w:rPr>
                <w:sz w:val="17"/>
              </w:rPr>
              <w:t>28.0%</w:t>
            </w:r>
          </w:p>
        </w:tc>
        <w:tc>
          <w:tcPr>
            <w:tcW w:type="dxa" w:w="2160"/>
          </w:tcPr>
          <w:p>
            <w:r>
              <w:rPr>
                <w:sz w:val="17"/>
              </w:rPr>
            </w:r>
            <w:r>
              <w:rPr>
                <w:sz w:val="17"/>
              </w:rPr>
              <w:t>71.58</w:t>
            </w:r>
          </w:p>
        </w:tc>
        <w:tc>
          <w:tcPr>
            <w:tcW w:type="dxa" w:w="2160"/>
          </w:tcPr>
          <w:p>
            <w:r>
              <w:rPr>
                <w:sz w:val="17"/>
              </w:rPr>
            </w:r>
            <w:r>
              <w:rPr>
                <w:sz w:val="17"/>
              </w:rPr>
              <w:t>28.63</w:t>
            </w:r>
          </w:p>
        </w:tc>
        <w:tc>
          <w:tcPr>
            <w:tcW w:type="dxa" w:w="2160"/>
          </w:tcPr>
          <w:p>
            <w:r>
              <w:rPr>
                <w:sz w:val="17"/>
              </w:rPr>
            </w:r>
            <w:r>
              <w:rPr>
                <w:sz w:val="17"/>
              </w:rPr>
              <w:t>400</w:t>
            </w:r>
          </w:p>
        </w:tc>
      </w:tr>
      <w:tr>
        <w:tc>
          <w:tcPr>
            <w:tcW w:type="dxa" w:w="2160"/>
          </w:tcPr>
          <w:p>
            <w:r>
              <w:rPr>
                <w:sz w:val="17"/>
              </w:rPr>
            </w:r>
            <w:r>
              <w:rPr>
                <w:b/>
                <w:sz w:val="17"/>
              </w:rPr>
              <w:t>29.58 % (الأساس)</w:t>
            </w:r>
          </w:p>
        </w:tc>
        <w:tc>
          <w:tcPr>
            <w:tcW w:type="dxa" w:w="2160"/>
          </w:tcPr>
          <w:p>
            <w:r>
              <w:rPr>
                <w:sz w:val="17"/>
              </w:rPr>
            </w:r>
            <w:r>
              <w:rPr>
                <w:b/>
                <w:sz w:val="17"/>
              </w:rPr>
              <w:t>62.97</w:t>
            </w:r>
          </w:p>
        </w:tc>
        <w:tc>
          <w:tcPr>
            <w:tcW w:type="dxa" w:w="2160"/>
          </w:tcPr>
          <w:p>
            <w:r>
              <w:rPr>
                <w:sz w:val="17"/>
              </w:rPr>
            </w:r>
            <w:r>
              <w:rPr>
                <w:b/>
                <w:sz w:val="17"/>
              </w:rPr>
              <w:t>25.19</w:t>
            </w:r>
          </w:p>
        </w:tc>
        <w:tc>
          <w:tcPr>
            <w:tcW w:type="dxa" w:w="2160"/>
          </w:tcPr>
          <w:p>
            <w:r>
              <w:rPr>
                <w:sz w:val="17"/>
              </w:rPr>
            </w:r>
            <w:r>
              <w:rPr>
                <w:b/>
                <w:sz w:val="17"/>
              </w:rPr>
              <w:t>352</w:t>
            </w:r>
          </w:p>
        </w:tc>
      </w:tr>
      <w:tr>
        <w:tc>
          <w:tcPr>
            <w:tcW w:type="dxa" w:w="2160"/>
          </w:tcPr>
          <w:p>
            <w:r>
              <w:rPr>
                <w:sz w:val="17"/>
              </w:rPr>
            </w:r>
            <w:r>
              <w:rPr>
                <w:sz w:val="17"/>
              </w:rPr>
              <w:t>31.0%</w:t>
            </w:r>
          </w:p>
        </w:tc>
        <w:tc>
          <w:tcPr>
            <w:tcW w:type="dxa" w:w="2160"/>
          </w:tcPr>
          <w:p>
            <w:r>
              <w:rPr>
                <w:sz w:val="17"/>
              </w:rPr>
            </w:r>
            <w:r>
              <w:rPr>
                <w:sz w:val="17"/>
              </w:rPr>
              <w:t>56.35</w:t>
            </w:r>
          </w:p>
        </w:tc>
        <w:tc>
          <w:tcPr>
            <w:tcW w:type="dxa" w:w="2160"/>
          </w:tcPr>
          <w:p>
            <w:r>
              <w:rPr>
                <w:sz w:val="17"/>
              </w:rPr>
            </w:r>
            <w:r>
              <w:rPr>
                <w:sz w:val="17"/>
              </w:rPr>
              <w:t>22.54</w:t>
            </w:r>
          </w:p>
        </w:tc>
        <w:tc>
          <w:tcPr>
            <w:tcW w:type="dxa" w:w="2160"/>
          </w:tcPr>
          <w:p>
            <w:r>
              <w:rPr>
                <w:sz w:val="17"/>
              </w:rPr>
            </w:r>
            <w:r>
              <w:rPr>
                <w:sz w:val="17"/>
              </w:rPr>
              <w:t>315</w:t>
            </w:r>
          </w:p>
        </w:tc>
      </w:tr>
      <w:tr>
        <w:tc>
          <w:tcPr>
            <w:tcW w:type="dxa" w:w="2160"/>
          </w:tcPr>
          <w:p>
            <w:r>
              <w:rPr>
                <w:sz w:val="17"/>
              </w:rPr>
            </w:r>
            <w:r>
              <w:rPr>
                <w:sz w:val="17"/>
              </w:rPr>
              <w:t>33.0%</w:t>
            </w:r>
          </w:p>
        </w:tc>
        <w:tc>
          <w:tcPr>
            <w:tcW w:type="dxa" w:w="2160"/>
          </w:tcPr>
          <w:p>
            <w:r>
              <w:rPr>
                <w:sz w:val="17"/>
              </w:rPr>
            </w:r>
            <w:r>
              <w:rPr>
                <w:sz w:val="17"/>
              </w:rPr>
              <w:t>48.50</w:t>
            </w:r>
          </w:p>
        </w:tc>
        <w:tc>
          <w:tcPr>
            <w:tcW w:type="dxa" w:w="2160"/>
          </w:tcPr>
          <w:p>
            <w:r>
              <w:rPr>
                <w:sz w:val="17"/>
              </w:rPr>
            </w:r>
            <w:r>
              <w:rPr>
                <w:sz w:val="17"/>
              </w:rPr>
              <w:t>19.40</w:t>
            </w:r>
          </w:p>
        </w:tc>
        <w:tc>
          <w:tcPr>
            <w:tcW w:type="dxa" w:w="2160"/>
          </w:tcPr>
          <w:p>
            <w:r>
              <w:rPr>
                <w:sz w:val="17"/>
              </w:rPr>
            </w:r>
            <w:r>
              <w:rPr>
                <w:sz w:val="17"/>
              </w:rPr>
              <w:t>271</w:t>
            </w:r>
          </w:p>
        </w:tc>
      </w:tr>
    </w:tbl>
    <w:p/>
    <w:p>
      <w:pPr>
        <w:pStyle w:val="Heading3"/>
      </w:pPr>
      <w:r>
        <w:t>8.2. حساسية للحصة السوقية (قاعدة الضمانات 25 تريليون ₽ لعام 2025، بفهرسة 4 % سنويًّا)</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حصة السنة العاشرة</w:t>
            </w:r>
          </w:p>
        </w:tc>
        <w:tc>
          <w:tcPr>
            <w:tcW w:type="dxa" w:w="2880"/>
          </w:tcPr>
          <w:p>
            <w:r>
              <w:rPr>
                <w:b/>
                <w:sz w:val="17"/>
              </w:rPr>
            </w:r>
            <w:r>
              <w:rPr>
                <w:b/>
                <w:sz w:val="17"/>
              </w:rPr>
              <w:t>قيمة المشروع، مليار ₽</w:t>
            </w:r>
          </w:p>
        </w:tc>
        <w:tc>
          <w:tcPr>
            <w:tcW w:type="dxa" w:w="2880"/>
          </w:tcPr>
          <w:p>
            <w:r>
              <w:rPr>
                <w:b/>
                <w:sz w:val="17"/>
              </w:rPr>
            </w:r>
            <w:r>
              <w:rPr>
                <w:b/>
                <w:sz w:val="17"/>
              </w:rPr>
              <w:t>قيمة الدخول بمدخل الدخل، مليون $</w:t>
            </w:r>
          </w:p>
        </w:tc>
      </w:tr>
      <w:tr>
        <w:tc>
          <w:tcPr>
            <w:tcW w:type="dxa" w:w="2880"/>
          </w:tcPr>
          <w:p>
            <w:r>
              <w:rPr>
                <w:sz w:val="17"/>
              </w:rPr>
            </w:r>
            <w:r>
              <w:rPr>
                <w:sz w:val="17"/>
              </w:rPr>
              <w:t>9.0%</w:t>
            </w:r>
          </w:p>
        </w:tc>
        <w:tc>
          <w:tcPr>
            <w:tcW w:type="dxa" w:w="2880"/>
          </w:tcPr>
          <w:p>
            <w:r>
              <w:rPr>
                <w:sz w:val="17"/>
              </w:rPr>
            </w:r>
            <w:r>
              <w:rPr>
                <w:sz w:val="17"/>
              </w:rPr>
              <w:t>27.87</w:t>
            </w:r>
          </w:p>
        </w:tc>
        <w:tc>
          <w:tcPr>
            <w:tcW w:type="dxa" w:w="2880"/>
          </w:tcPr>
          <w:p>
            <w:r>
              <w:rPr>
                <w:sz w:val="17"/>
              </w:rPr>
            </w:r>
            <w:r>
              <w:rPr>
                <w:sz w:val="17"/>
              </w:rPr>
              <w:t>156</w:t>
            </w:r>
          </w:p>
        </w:tc>
      </w:tr>
      <w:tr>
        <w:tc>
          <w:tcPr>
            <w:tcW w:type="dxa" w:w="2880"/>
          </w:tcPr>
          <w:p>
            <w:r>
              <w:rPr>
                <w:sz w:val="17"/>
              </w:rPr>
            </w:r>
            <w:r>
              <w:rPr>
                <w:sz w:val="17"/>
              </w:rPr>
              <w:t>13.5%</w:t>
            </w:r>
          </w:p>
        </w:tc>
        <w:tc>
          <w:tcPr>
            <w:tcW w:type="dxa" w:w="2880"/>
          </w:tcPr>
          <w:p>
            <w:r>
              <w:rPr>
                <w:sz w:val="17"/>
              </w:rPr>
            </w:r>
            <w:r>
              <w:rPr>
                <w:sz w:val="17"/>
              </w:rPr>
              <w:t>45.43</w:t>
            </w:r>
          </w:p>
        </w:tc>
        <w:tc>
          <w:tcPr>
            <w:tcW w:type="dxa" w:w="2880"/>
          </w:tcPr>
          <w:p>
            <w:r>
              <w:rPr>
                <w:sz w:val="17"/>
              </w:rPr>
            </w:r>
            <w:r>
              <w:rPr>
                <w:sz w:val="17"/>
              </w:rPr>
              <w:t>254</w:t>
            </w:r>
          </w:p>
        </w:tc>
      </w:tr>
      <w:tr>
        <w:tc>
          <w:tcPr>
            <w:tcW w:type="dxa" w:w="2880"/>
          </w:tcPr>
          <w:p>
            <w:r>
              <w:rPr>
                <w:sz w:val="17"/>
              </w:rPr>
            </w:r>
            <w:r>
              <w:rPr>
                <w:b/>
                <w:sz w:val="17"/>
              </w:rPr>
              <w:t>18.0 % (الأساس)</w:t>
            </w:r>
          </w:p>
        </w:tc>
        <w:tc>
          <w:tcPr>
            <w:tcW w:type="dxa" w:w="2880"/>
          </w:tcPr>
          <w:p>
            <w:r>
              <w:rPr>
                <w:sz w:val="17"/>
              </w:rPr>
            </w:r>
            <w:r>
              <w:rPr>
                <w:b/>
                <w:sz w:val="17"/>
              </w:rPr>
              <w:t>62.97</w:t>
            </w:r>
          </w:p>
        </w:tc>
        <w:tc>
          <w:tcPr>
            <w:tcW w:type="dxa" w:w="2880"/>
          </w:tcPr>
          <w:p>
            <w:r>
              <w:rPr>
                <w:sz w:val="17"/>
              </w:rPr>
            </w:r>
            <w:r>
              <w:rPr>
                <w:b/>
                <w:sz w:val="17"/>
              </w:rPr>
              <w:t>352</w:t>
            </w:r>
          </w:p>
        </w:tc>
      </w:tr>
      <w:tr>
        <w:tc>
          <w:tcPr>
            <w:tcW w:type="dxa" w:w="2880"/>
          </w:tcPr>
          <w:p>
            <w:r>
              <w:rPr>
                <w:sz w:val="17"/>
              </w:rPr>
            </w:r>
            <w:r>
              <w:rPr>
                <w:sz w:val="17"/>
              </w:rPr>
              <w:t>22.5%</w:t>
            </w:r>
          </w:p>
        </w:tc>
        <w:tc>
          <w:tcPr>
            <w:tcW w:type="dxa" w:w="2880"/>
          </w:tcPr>
          <w:p>
            <w:r>
              <w:rPr>
                <w:sz w:val="17"/>
              </w:rPr>
            </w:r>
            <w:r>
              <w:rPr>
                <w:sz w:val="17"/>
              </w:rPr>
              <w:t>80.50</w:t>
            </w:r>
          </w:p>
        </w:tc>
        <w:tc>
          <w:tcPr>
            <w:tcW w:type="dxa" w:w="2880"/>
          </w:tcPr>
          <w:p>
            <w:r>
              <w:rPr>
                <w:sz w:val="17"/>
              </w:rPr>
            </w:r>
            <w:r>
              <w:rPr>
                <w:sz w:val="17"/>
              </w:rPr>
              <w:t>450</w:t>
            </w:r>
          </w:p>
        </w:tc>
      </w:tr>
      <w:tr>
        <w:tc>
          <w:tcPr>
            <w:tcW w:type="dxa" w:w="2880"/>
          </w:tcPr>
          <w:p>
            <w:r>
              <w:rPr>
                <w:sz w:val="17"/>
              </w:rPr>
            </w:r>
            <w:r>
              <w:rPr>
                <w:sz w:val="17"/>
              </w:rPr>
              <w:t>27.0%</w:t>
            </w:r>
          </w:p>
        </w:tc>
        <w:tc>
          <w:tcPr>
            <w:tcW w:type="dxa" w:w="2880"/>
          </w:tcPr>
          <w:p>
            <w:r>
              <w:rPr>
                <w:sz w:val="17"/>
              </w:rPr>
            </w:r>
            <w:r>
              <w:rPr>
                <w:sz w:val="17"/>
              </w:rPr>
              <w:t>98.03</w:t>
            </w:r>
          </w:p>
        </w:tc>
        <w:tc>
          <w:tcPr>
            <w:tcW w:type="dxa" w:w="2880"/>
          </w:tcPr>
          <w:p>
            <w:r>
              <w:rPr>
                <w:sz w:val="17"/>
              </w:rPr>
            </w:r>
            <w:r>
              <w:rPr>
                <w:sz w:val="17"/>
              </w:rPr>
              <w:t>548</w:t>
            </w:r>
          </w:p>
        </w:tc>
      </w:tr>
    </w:tbl>
    <w:p/>
    <w:p>
      <w:pPr>
        <w:ind w:left="360"/>
      </w:pPr>
      <w:r>
        <w:rPr>
          <w:i/>
          <w:color w:val="444444"/>
        </w:rPr>
        <w:t>أمّا قيمة الدخول المرجَّحة على أربعة مداخل فتتحرّك على نحو مختلف حسب السيناريو: المحافظ (حصة 7 %) — 164 مليون $، والأساسي (18 %) — 248 مليون $، والمتفائل (25 %) — 301 مليون $. والنطاق مضغوط لأن المدخل المقارن لا يُعاد احتسابه حسب السيناريوهات.</w:t>
      </w:r>
    </w:p>
    <w:p>
      <w:pPr>
        <w:pStyle w:val="Heading3"/>
      </w:pPr>
      <w:r>
        <w:t>8.3. حساسية لسعر الصرف USD/RUB (القاعدة بالروبل 17.74 مليار ₽)</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USD/RUB</w:t>
            </w:r>
          </w:p>
        </w:tc>
        <w:tc>
          <w:tcPr>
            <w:tcW w:type="dxa" w:w="4320"/>
          </w:tcPr>
          <w:p>
            <w:r>
              <w:rPr>
                <w:b/>
                <w:sz w:val="17"/>
              </w:rPr>
            </w:r>
            <w:r>
              <w:rPr>
                <w:b/>
                <w:sz w:val="17"/>
              </w:rPr>
              <w:t>قيمة الدخول، مليون $</w:t>
            </w:r>
          </w:p>
        </w:tc>
      </w:tr>
      <w:tr>
        <w:tc>
          <w:tcPr>
            <w:tcW w:type="dxa" w:w="4320"/>
          </w:tcPr>
          <w:p>
            <w:r>
              <w:rPr>
                <w:sz w:val="17"/>
              </w:rPr>
            </w:r>
            <w:r>
              <w:rPr>
                <w:sz w:val="17"/>
              </w:rPr>
              <w:t>65.00</w:t>
            </w:r>
          </w:p>
        </w:tc>
        <w:tc>
          <w:tcPr>
            <w:tcW w:type="dxa" w:w="4320"/>
          </w:tcPr>
          <w:p>
            <w:r>
              <w:rPr>
                <w:sz w:val="17"/>
              </w:rPr>
            </w:r>
            <w:r>
              <w:rPr>
                <w:sz w:val="17"/>
              </w:rPr>
              <w:t>273</w:t>
            </w:r>
          </w:p>
        </w:tc>
      </w:tr>
      <w:tr>
        <w:tc>
          <w:tcPr>
            <w:tcW w:type="dxa" w:w="4320"/>
          </w:tcPr>
          <w:p>
            <w:r>
              <w:rPr>
                <w:sz w:val="17"/>
              </w:rPr>
            </w:r>
            <w:r>
              <w:rPr>
                <w:sz w:val="17"/>
              </w:rPr>
              <w:t>68.00</w:t>
            </w:r>
          </w:p>
        </w:tc>
        <w:tc>
          <w:tcPr>
            <w:tcW w:type="dxa" w:w="4320"/>
          </w:tcPr>
          <w:p>
            <w:r>
              <w:rPr>
                <w:sz w:val="17"/>
              </w:rPr>
            </w:r>
            <w:r>
              <w:rPr>
                <w:sz w:val="17"/>
              </w:rPr>
              <w:t>261</w:t>
            </w:r>
          </w:p>
        </w:tc>
      </w:tr>
      <w:tr>
        <w:tc>
          <w:tcPr>
            <w:tcW w:type="dxa" w:w="4320"/>
          </w:tcPr>
          <w:p>
            <w:r>
              <w:rPr>
                <w:sz w:val="17"/>
              </w:rPr>
            </w:r>
            <w:r>
              <w:rPr>
                <w:b/>
                <w:sz w:val="17"/>
              </w:rPr>
              <w:t>71.55 (الأساس)</w:t>
            </w:r>
          </w:p>
        </w:tc>
        <w:tc>
          <w:tcPr>
            <w:tcW w:type="dxa" w:w="4320"/>
          </w:tcPr>
          <w:p>
            <w:r>
              <w:rPr>
                <w:sz w:val="17"/>
              </w:rPr>
            </w:r>
            <w:r>
              <w:rPr>
                <w:b/>
                <w:sz w:val="17"/>
              </w:rPr>
              <w:t>248</w:t>
            </w:r>
          </w:p>
        </w:tc>
      </w:tr>
      <w:tr>
        <w:tc>
          <w:tcPr>
            <w:tcW w:type="dxa" w:w="4320"/>
          </w:tcPr>
          <w:p>
            <w:r>
              <w:rPr>
                <w:sz w:val="17"/>
              </w:rPr>
            </w:r>
            <w:r>
              <w:rPr>
                <w:sz w:val="17"/>
              </w:rPr>
              <w:t>75.00</w:t>
            </w:r>
          </w:p>
        </w:tc>
        <w:tc>
          <w:tcPr>
            <w:tcW w:type="dxa" w:w="4320"/>
          </w:tcPr>
          <w:p>
            <w:r>
              <w:rPr>
                <w:sz w:val="17"/>
              </w:rPr>
            </w:r>
            <w:r>
              <w:rPr>
                <w:sz w:val="17"/>
              </w:rPr>
              <w:t>237</w:t>
            </w:r>
          </w:p>
        </w:tc>
      </w:tr>
      <w:tr>
        <w:tc>
          <w:tcPr>
            <w:tcW w:type="dxa" w:w="4320"/>
          </w:tcPr>
          <w:p>
            <w:r>
              <w:rPr>
                <w:sz w:val="17"/>
              </w:rPr>
            </w:r>
            <w:r>
              <w:rPr>
                <w:sz w:val="17"/>
              </w:rPr>
              <w:t>80.00</w:t>
            </w:r>
          </w:p>
        </w:tc>
        <w:tc>
          <w:tcPr>
            <w:tcW w:type="dxa" w:w="4320"/>
          </w:tcPr>
          <w:p>
            <w:r>
              <w:rPr>
                <w:sz w:val="17"/>
              </w:rPr>
            </w:r>
            <w:r>
              <w:rPr>
                <w:sz w:val="17"/>
              </w:rPr>
              <w:t>222</w:t>
            </w:r>
          </w:p>
        </w:tc>
      </w:tr>
      <w:tr>
        <w:tc>
          <w:tcPr>
            <w:tcW w:type="dxa" w:w="4320"/>
          </w:tcPr>
          <w:p>
            <w:r>
              <w:rPr>
                <w:sz w:val="17"/>
              </w:rPr>
            </w:r>
            <w:r>
              <w:rPr>
                <w:sz w:val="17"/>
              </w:rPr>
              <w:t>89.00</w:t>
            </w:r>
          </w:p>
        </w:tc>
        <w:tc>
          <w:tcPr>
            <w:tcW w:type="dxa" w:w="4320"/>
          </w:tcPr>
          <w:p>
            <w:r>
              <w:rPr>
                <w:sz w:val="17"/>
              </w:rPr>
            </w:r>
            <w:r>
              <w:rPr>
                <w:sz w:val="17"/>
              </w:rPr>
              <w:t>199</w:t>
            </w:r>
          </w:p>
        </w:tc>
      </w:tr>
    </w:tbl>
    <w:p/>
    <w:p>
      <w:pPr>
        <w:pStyle w:val="Heading3"/>
      </w:pPr>
      <w:r>
        <w:t>8.4. مخطط tornado (أعلى 7 حساسيات بالقيمة المطلقة على NPV)</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المحرّك</w:t>
            </w:r>
          </w:p>
        </w:tc>
        <w:tc>
          <w:tcPr>
            <w:tcW w:type="dxa" w:w="4320"/>
          </w:tcPr>
          <w:p>
            <w:r>
              <w:rPr>
                <w:b/>
                <w:sz w:val="17"/>
              </w:rPr>
            </w:r>
            <w:r>
              <w:rPr>
                <w:b/>
                <w:sz w:val="17"/>
              </w:rPr>
              <w:t>الأثر، ± مليار ₽ NPV</w:t>
            </w:r>
          </w:p>
        </w:tc>
      </w:tr>
      <w:tr>
        <w:tc>
          <w:tcPr>
            <w:tcW w:type="dxa" w:w="4320"/>
          </w:tcPr>
          <w:p>
            <w:r>
              <w:rPr>
                <w:sz w:val="17"/>
              </w:rPr>
            </w:r>
            <w:r>
              <w:rPr>
                <w:sz w:val="17"/>
              </w:rPr>
              <w:t>موعد إقرار التشريعات (T+24 مقابل T+36)</w:t>
            </w:r>
          </w:p>
        </w:tc>
        <w:tc>
          <w:tcPr>
            <w:tcW w:type="dxa" w:w="4320"/>
          </w:tcPr>
          <w:p>
            <w:r>
              <w:rPr>
                <w:sz w:val="17"/>
              </w:rPr>
            </w:r>
            <w:r>
              <w:rPr>
                <w:sz w:val="17"/>
              </w:rPr>
              <w:t>± 54</w:t>
            </w:r>
          </w:p>
        </w:tc>
      </w:tr>
      <w:tr>
        <w:tc>
          <w:tcPr>
            <w:tcW w:type="dxa" w:w="4320"/>
          </w:tcPr>
          <w:p>
            <w:r>
              <w:rPr>
                <w:sz w:val="17"/>
              </w:rPr>
            </w:r>
            <w:r>
              <w:rPr>
                <w:sz w:val="17"/>
              </w:rPr>
              <w:t>حصة السوق في السنة 10 (18 % ± 7 نقطة مئوية)</w:t>
            </w:r>
          </w:p>
        </w:tc>
        <w:tc>
          <w:tcPr>
            <w:tcW w:type="dxa" w:w="4320"/>
          </w:tcPr>
          <w:p>
            <w:r>
              <w:rPr>
                <w:sz w:val="17"/>
              </w:rPr>
            </w:r>
            <w:r>
              <w:rPr>
                <w:sz w:val="17"/>
              </w:rPr>
              <w:t>± 38</w:t>
            </w:r>
          </w:p>
        </w:tc>
      </w:tr>
      <w:tr>
        <w:tc>
          <w:tcPr>
            <w:tcW w:type="dxa" w:w="4320"/>
          </w:tcPr>
          <w:p>
            <w:r>
              <w:rPr>
                <w:sz w:val="17"/>
              </w:rPr>
            </w:r>
            <w:r>
              <w:rPr>
                <w:sz w:val="17"/>
              </w:rPr>
              <w:t>WACC (29.5% ± 3 نقاط مئوية)</w:t>
            </w:r>
          </w:p>
        </w:tc>
        <w:tc>
          <w:tcPr>
            <w:tcW w:type="dxa" w:w="4320"/>
          </w:tcPr>
          <w:p>
            <w:r>
              <w:rPr>
                <w:sz w:val="17"/>
              </w:rPr>
            </w:r>
            <w:r>
              <w:rPr>
                <w:sz w:val="17"/>
              </w:rPr>
              <w:t>± 22</w:t>
            </w:r>
          </w:p>
        </w:tc>
      </w:tr>
      <w:tr>
        <w:tc>
          <w:tcPr>
            <w:tcW w:type="dxa" w:w="4320"/>
          </w:tcPr>
          <w:p>
            <w:r>
              <w:rPr>
                <w:sz w:val="17"/>
              </w:rPr>
            </w:r>
            <w:r>
              <w:rPr>
                <w:sz w:val="17"/>
              </w:rPr>
              <w:t>زيادة OpEx (±20 %)</w:t>
            </w:r>
          </w:p>
        </w:tc>
        <w:tc>
          <w:tcPr>
            <w:tcW w:type="dxa" w:w="4320"/>
          </w:tcPr>
          <w:p>
            <w:r>
              <w:rPr>
                <w:sz w:val="17"/>
              </w:rPr>
            </w:r>
            <w:r>
              <w:rPr>
                <w:sz w:val="17"/>
              </w:rPr>
              <w:t>± 18</w:t>
            </w:r>
          </w:p>
        </w:tc>
      </w:tr>
      <w:tr>
        <w:tc>
          <w:tcPr>
            <w:tcW w:type="dxa" w:w="4320"/>
          </w:tcPr>
          <w:p>
            <w:r>
              <w:rPr>
                <w:sz w:val="17"/>
              </w:rPr>
            </w:r>
            <w:r>
              <w:rPr>
                <w:sz w:val="17"/>
              </w:rPr>
              <w:t>العمولة التعرفيّة (15 bps ± 4)</w:t>
            </w:r>
          </w:p>
        </w:tc>
        <w:tc>
          <w:tcPr>
            <w:tcW w:type="dxa" w:w="4320"/>
          </w:tcPr>
          <w:p>
            <w:r>
              <w:rPr>
                <w:sz w:val="17"/>
              </w:rPr>
            </w:r>
            <w:r>
              <w:rPr>
                <w:sz w:val="17"/>
              </w:rPr>
              <w:t>± 16</w:t>
            </w:r>
          </w:p>
        </w:tc>
      </w:tr>
      <w:tr>
        <w:tc>
          <w:tcPr>
            <w:tcW w:type="dxa" w:w="4320"/>
          </w:tcPr>
          <w:p>
            <w:r>
              <w:rPr>
                <w:sz w:val="17"/>
              </w:rPr>
            </w:r>
            <w:r>
              <w:rPr>
                <w:sz w:val="17"/>
              </w:rPr>
              <w:t>موعد الإطلاق (±6 أشهر)</w:t>
            </w:r>
          </w:p>
        </w:tc>
        <w:tc>
          <w:tcPr>
            <w:tcW w:type="dxa" w:w="4320"/>
          </w:tcPr>
          <w:p>
            <w:r>
              <w:rPr>
                <w:sz w:val="17"/>
              </w:rPr>
            </w:r>
            <w:r>
              <w:rPr>
                <w:sz w:val="17"/>
              </w:rPr>
              <w:t>± 14</w:t>
            </w:r>
          </w:p>
        </w:tc>
      </w:tr>
      <w:tr>
        <w:tc>
          <w:tcPr>
            <w:tcW w:type="dxa" w:w="4320"/>
          </w:tcPr>
          <w:p>
            <w:r>
              <w:rPr>
                <w:sz w:val="17"/>
              </w:rPr>
            </w:r>
            <w:r>
              <w:rPr>
                <w:sz w:val="17"/>
              </w:rPr>
              <w:t>هامش EBITDA في TV (74.8 % ± 5 نقاط مئوية)</w:t>
            </w:r>
          </w:p>
        </w:tc>
        <w:tc>
          <w:tcPr>
            <w:tcW w:type="dxa" w:w="4320"/>
          </w:tcPr>
          <w:p>
            <w:r>
              <w:rPr>
                <w:sz w:val="17"/>
              </w:rPr>
            </w:r>
            <w:r>
              <w:rPr>
                <w:sz w:val="17"/>
              </w:rPr>
              <w:t>± 11</w:t>
            </w:r>
          </w:p>
        </w:tc>
      </w:tr>
    </w:tbl>
    <w:p/>
    <w:p>
      <w:pPr>
        <w:pStyle w:val="Heading3"/>
      </w:pPr>
      <w:r>
        <w:t>8.5. المحاكاة (2,000 تكرار)</w:t>
      </w:r>
    </w:p>
    <w:p>
      <w:pPr>
        <w:jc w:val="both"/>
      </w:pPr>
      <w:r>
        <w:t>مولّد ببذرة ثابتة 20260907 — الحساب قابل لإعادة الإنتاج. وتتغيّر: الحصة السوقية للسنة العاشرة (توزيع مثلثي 7–25 %، المنوال 18 %)، ومعدل الخصم (منتظم 27–33 %)، وانحراف المصروفات (منتظم من ناقص 10 % إلى زائد 30 %)، وتأخر الإطلاق (0/1/2/3 سنوات باحتمالات 40/30/20/10 %).</w:t>
      </w:r>
    </w:p>
    <w:p>
      <w:pPr>
        <w:pStyle w:val="ListBullet"/>
      </w:pPr>
      <w:r>
        <w:t>وسيط قيمة المشروع — 39.2 مليار ₽.</w:t>
      </w:r>
    </w:p>
    <w:p>
      <w:pPr>
        <w:pStyle w:val="ListBullet"/>
      </w:pPr>
      <w:r>
        <w:t>P10–P90 — 18.5–65.8 مليار ₽.</w:t>
      </w:r>
    </w:p>
    <w:p>
      <w:pPr>
        <w:pStyle w:val="ListBullet"/>
      </w:pPr>
      <w:r>
        <w:t>P5 — 14.7 مليار ₽؛ P95 — 73.5 مليار ₽.</w:t>
      </w:r>
    </w:p>
    <w:p>
      <w:pPr>
        <w:pStyle w:val="ListBullet"/>
      </w:pPr>
      <w:r>
        <w:t>احتمال تجاوز القيمة 50 مليار ₽ — 29.6 %.</w:t>
      </w:r>
    </w:p>
    <w:p>
      <w:pPr>
        <w:pStyle w:val="ListBullet"/>
      </w:pPr>
      <w:r>
        <w:t>احتمال قيمة سالبة — 0.0 %.</w:t>
      </w:r>
    </w:p>
    <w:p>
      <w:pPr>
        <w:ind w:left="360"/>
      </w:pPr>
      <w:r>
        <w:rPr>
          <w:i/>
          <w:color w:val="444444"/>
        </w:rPr>
        <w:t>وسيط المحاكاة أدنى من السيناريو الأساسي (63.0 مليار ₽) لأن المحاكاة تأخذ في الحسبان احتمال تأخر الإطلاق. وكان الإصدار السابق يذكر وسيطًا قدره 94 مليار ₽ واحتمال قيمة سالبة 4.2 % بينما لم يكن مثل هذا الحساب موجودًا.</w:t>
      </w:r>
    </w:p>
    <w:p>
      <w:pPr>
        <w:pStyle w:val="Heading3"/>
      </w:pPr>
      <w:r>
        <w:t>8.6. الوسادة النقدية</w:t>
      </w:r>
    </w:p>
    <w:p>
      <w:pPr>
        <w:pStyle w:val="ListBullet"/>
      </w:pPr>
      <w:r>
        <w:t xml:space="preserve">ذروة الحاجة إلى التمويل </w:t>
      </w:r>
      <w:r>
        <w:rPr>
          <w:b/>
        </w:rPr>
        <w:t>1,701 مليون ₽</w:t>
      </w:r>
      <w:r>
        <w:t xml:space="preserve"> (نهاية 2028).</w:t>
      </w:r>
    </w:p>
    <w:p>
      <w:pPr>
        <w:pStyle w:val="ListBullet"/>
      </w:pPr>
      <w:r>
        <w:t>وتغطّيها الجولة الأولى البالغة 1,800 مليون ₽ (25 مليون $) بهامش 99 مليون ₽ — نحو 6 %.</w:t>
      </w:r>
    </w:p>
    <w:p>
      <w:pPr>
        <w:pStyle w:val="ListBullet"/>
      </w:pPr>
      <w:r>
        <w:t xml:space="preserve">وإذا تأخّر الإطلاق سنةً ترتفع الحاجة إلى </w:t>
      </w:r>
      <w:r>
        <w:rPr>
          <w:b/>
        </w:rPr>
        <w:t>3,438 مليون ₽</w:t>
      </w:r>
      <w:r>
        <w:t>: عندئذٍ لا يكفي الهامش وتلزم</w:t>
      </w:r>
    </w:p>
    <w:p>
      <w:pPr>
        <w:jc w:val="both"/>
      </w:pPr>
      <w:r>
        <w:t>شريحة ثانية.</w:t>
      </w:r>
    </w:p>
    <w:p>
      <w:pPr>
        <w:pStyle w:val="ListBullet"/>
      </w:pPr>
      <w:r>
        <w:rPr>
          <w:b/>
        </w:rPr>
        <w:t>الخلاصة:</w:t>
      </w:r>
      <w:r>
        <w:t xml:space="preserve"> تغطّي الجولة الحاجة المحسوبة، لكن الهامش ضئيل. وموعد الإطلاق هو أول ما ينبغي</w:t>
      </w:r>
    </w:p>
    <w:p>
      <w:pPr>
        <w:jc w:val="both"/>
      </w:pPr>
      <w:r>
        <w:t>ضبطه، ويُستحسن تجهيز تمويل جسري مسبقًا لا بعد ظهور الفجوة.</w:t>
      </w:r>
    </w:p>
    <w:p>
      <w:pPr>
        <w:pStyle w:val="Heading2"/>
      </w:pPr>
      <w:r>
        <w:t>9. مقارنة مع المراجع الدولية (2026)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المشروع</w:t>
            </w:r>
          </w:p>
        </w:tc>
        <w:tc>
          <w:tcPr>
            <w:tcW w:type="dxa" w:w="2880"/>
          </w:tcPr>
          <w:p>
            <w:r>
              <w:rPr>
                <w:b/>
                <w:sz w:val="17"/>
              </w:rPr>
            </w:r>
            <w:r>
              <w:rPr>
                <w:b/>
                <w:sz w:val="17"/>
              </w:rPr>
              <w:t>الاختصاص</w:t>
            </w:r>
          </w:p>
        </w:tc>
        <w:tc>
          <w:tcPr>
            <w:tcW w:type="dxa" w:w="2880"/>
          </w:tcPr>
          <w:p>
            <w:r>
              <w:rPr>
                <w:b/>
                <w:sz w:val="17"/>
              </w:rPr>
            </w:r>
            <w:r>
              <w:rPr>
                <w:b/>
                <w:sz w:val="17"/>
              </w:rPr>
              <w:t>قيمة ما قبل التمويل في مرحلة مماثلة، مليون $</w:t>
            </w:r>
          </w:p>
        </w:tc>
      </w:tr>
      <w:tr>
        <w:tc>
          <w:tcPr>
            <w:tcW w:type="dxa" w:w="2880"/>
          </w:tcPr>
          <w:p>
            <w:r>
              <w:rPr>
                <w:sz w:val="17"/>
              </w:rPr>
            </w:r>
            <w:r>
              <w:rPr>
                <w:sz w:val="17"/>
              </w:rPr>
              <w:t>Securitize (Series C، 2026)</w:t>
            </w:r>
          </w:p>
        </w:tc>
        <w:tc>
          <w:tcPr>
            <w:tcW w:type="dxa" w:w="2880"/>
          </w:tcPr>
          <w:p>
            <w:r>
              <w:rPr>
                <w:sz w:val="17"/>
              </w:rPr>
            </w:r>
            <w:r>
              <w:rPr>
                <w:sz w:val="17"/>
              </w:rPr>
              <w:t>الولايات المتحدة</w:t>
            </w:r>
          </w:p>
        </w:tc>
        <w:tc>
          <w:tcPr>
            <w:tcW w:type="dxa" w:w="2880"/>
          </w:tcPr>
          <w:p>
            <w:r>
              <w:rPr>
                <w:sz w:val="17"/>
              </w:rPr>
            </w:r>
            <w:r>
              <w:rPr>
                <w:sz w:val="17"/>
              </w:rPr>
              <w:t>980</w:t>
            </w:r>
          </w:p>
        </w:tc>
      </w:tr>
      <w:tr>
        <w:tc>
          <w:tcPr>
            <w:tcW w:type="dxa" w:w="2880"/>
          </w:tcPr>
          <w:p>
            <w:r>
              <w:rPr>
                <w:sz w:val="17"/>
              </w:rPr>
            </w:r>
            <w:r>
              <w:rPr>
                <w:sz w:val="17"/>
              </w:rPr>
              <w:t>Tokeny (Series A، 2025)</w:t>
            </w:r>
          </w:p>
        </w:tc>
        <w:tc>
          <w:tcPr>
            <w:tcW w:type="dxa" w:w="2880"/>
          </w:tcPr>
          <w:p>
            <w:r>
              <w:rPr>
                <w:sz w:val="17"/>
              </w:rPr>
            </w:r>
            <w:r>
              <w:rPr>
                <w:sz w:val="17"/>
              </w:rPr>
              <w:t>لوكسمبورغ</w:t>
            </w:r>
          </w:p>
        </w:tc>
        <w:tc>
          <w:tcPr>
            <w:tcW w:type="dxa" w:w="2880"/>
          </w:tcPr>
          <w:p>
            <w:r>
              <w:rPr>
                <w:sz w:val="17"/>
              </w:rPr>
            </w:r>
            <w:r>
              <w:rPr>
                <w:sz w:val="17"/>
              </w:rPr>
              <w:t>60</w:t>
            </w:r>
          </w:p>
        </w:tc>
      </w:tr>
      <w:tr>
        <w:tc>
          <w:tcPr>
            <w:tcW w:type="dxa" w:w="2880"/>
          </w:tcPr>
          <w:p>
            <w:r>
              <w:rPr>
                <w:sz w:val="17"/>
              </w:rPr>
            </w:r>
            <w:r>
              <w:rPr>
                <w:sz w:val="17"/>
              </w:rPr>
              <w:t>Polymath (Series A، 2025)</w:t>
            </w:r>
          </w:p>
        </w:tc>
        <w:tc>
          <w:tcPr>
            <w:tcW w:type="dxa" w:w="2880"/>
          </w:tcPr>
          <w:p>
            <w:r>
              <w:rPr>
                <w:sz w:val="17"/>
              </w:rPr>
            </w:r>
            <w:r>
              <w:rPr>
                <w:sz w:val="17"/>
              </w:rPr>
              <w:t>كندا / بربادوس</w:t>
            </w:r>
          </w:p>
        </w:tc>
        <w:tc>
          <w:tcPr>
            <w:tcW w:type="dxa" w:w="2880"/>
          </w:tcPr>
          <w:p>
            <w:r>
              <w:rPr>
                <w:sz w:val="17"/>
              </w:rPr>
            </w:r>
            <w:r>
              <w:rPr>
                <w:sz w:val="17"/>
              </w:rPr>
              <w:t>75</w:t>
            </w:r>
          </w:p>
        </w:tc>
      </w:tr>
      <w:tr>
        <w:tc>
          <w:tcPr>
            <w:tcW w:type="dxa" w:w="2880"/>
          </w:tcPr>
          <w:p>
            <w:r>
              <w:rPr>
                <w:sz w:val="17"/>
              </w:rPr>
            </w:r>
            <w:r>
              <w:rPr>
                <w:sz w:val="17"/>
              </w:rPr>
              <w:t>HQLAx (Series B، 2026)</w:t>
            </w:r>
          </w:p>
        </w:tc>
        <w:tc>
          <w:tcPr>
            <w:tcW w:type="dxa" w:w="2880"/>
          </w:tcPr>
          <w:p>
            <w:r>
              <w:rPr>
                <w:sz w:val="17"/>
              </w:rPr>
            </w:r>
            <w:r>
              <w:rPr>
                <w:sz w:val="17"/>
              </w:rPr>
              <w:t>سويسرا</w:t>
            </w:r>
          </w:p>
        </w:tc>
        <w:tc>
          <w:tcPr>
            <w:tcW w:type="dxa" w:w="2880"/>
          </w:tcPr>
          <w:p>
            <w:r>
              <w:rPr>
                <w:sz w:val="17"/>
              </w:rPr>
            </w:r>
            <w:r>
              <w:rPr>
                <w:sz w:val="17"/>
              </w:rPr>
              <w:t>180</w:t>
            </w:r>
          </w:p>
        </w:tc>
      </w:tr>
      <w:tr>
        <w:tc>
          <w:tcPr>
            <w:tcW w:type="dxa" w:w="2880"/>
          </w:tcPr>
          <w:p>
            <w:r>
              <w:rPr>
                <w:sz w:val="17"/>
              </w:rPr>
            </w:r>
            <w:r>
              <w:rPr>
                <w:sz w:val="17"/>
              </w:rPr>
              <w:t>Atomyze</w:t>
            </w:r>
          </w:p>
        </w:tc>
        <w:tc>
          <w:tcPr>
            <w:tcW w:type="dxa" w:w="2880"/>
          </w:tcPr>
          <w:p>
            <w:r>
              <w:rPr>
                <w:sz w:val="17"/>
              </w:rPr>
            </w:r>
            <w:r>
              <w:rPr>
                <w:sz w:val="17"/>
              </w:rPr>
              <w:t>روسيا</w:t>
            </w:r>
          </w:p>
        </w:tc>
        <w:tc>
          <w:tcPr>
            <w:tcW w:type="dxa" w:w="2880"/>
          </w:tcPr>
          <w:p>
            <w:r>
              <w:rPr>
                <w:sz w:val="17"/>
              </w:rPr>
            </w:r>
            <w:r>
              <w:rPr>
                <w:sz w:val="17"/>
              </w:rPr>
              <w:t>~85</w:t>
            </w:r>
          </w:p>
        </w:tc>
      </w:tr>
      <w:tr>
        <w:tc>
          <w:tcPr>
            <w:tcW w:type="dxa" w:w="2880"/>
          </w:tcPr>
          <w:p>
            <w:r>
              <w:rPr>
                <w:sz w:val="17"/>
              </w:rPr>
            </w:r>
            <w:r>
              <w:rPr>
                <w:b/>
                <w:sz w:val="17"/>
              </w:rPr>
              <w:t>قيمة الدخول المحسوبة، CPFSR</w:t>
            </w:r>
          </w:p>
        </w:tc>
        <w:tc>
          <w:tcPr>
            <w:tcW w:type="dxa" w:w="2880"/>
          </w:tcPr>
          <w:p>
            <w:r>
              <w:rPr>
                <w:sz w:val="17"/>
              </w:rPr>
            </w:r>
            <w:r>
              <w:rPr>
                <w:sz w:val="17"/>
              </w:rPr>
              <w:t>روسيا</w:t>
            </w:r>
          </w:p>
        </w:tc>
        <w:tc>
          <w:tcPr>
            <w:tcW w:type="dxa" w:w="2880"/>
          </w:tcPr>
          <w:p>
            <w:r>
              <w:rPr>
                <w:sz w:val="17"/>
              </w:rPr>
            </w:r>
            <w:r>
              <w:rPr>
                <w:b/>
                <w:sz w:val="17"/>
              </w:rPr>
              <w:t>248</w:t>
            </w:r>
          </w:p>
        </w:tc>
      </w:tr>
    </w:tbl>
    <w:p/>
    <w:p>
      <w:pPr>
        <w:jc w:val="both"/>
      </w:pPr>
      <w:r>
        <w:t>تتجاوز القيمة المحسوبة صفقات Series A المماثلة لمنصات ترميز الأصول. وتدعم البيانات المقارنة الجزء الأدنى من النطاق المحسوب (164 مليون $) لا نقطته الأساسية؛ ويُفسَّر الفارق بحجم قاعدة الضمانات المضمَّنة في مدخل الدخل، ولا تؤكّده أي صفقة منجزة على المشروع.</w:t>
      </w:r>
    </w:p>
    <w:p>
      <w:pPr>
        <w:pStyle w:val="Heading2"/>
      </w:pPr>
      <w:r>
        <w:t>10. ما الذي تغيّر بعد إعادة الاحتساب</w:t>
      </w:r>
    </w:p>
    <w:p>
      <w:pPr>
        <w:pStyle w:val="ListBullet"/>
      </w:pPr>
      <w:r>
        <w:t>تطابق المعطيات الكلية بيانات بنك روسيا (سعر الفائدة الرئيس 14.0%، سعر الصرف 71.55)، وهي</w:t>
      </w:r>
    </w:p>
    <w:p>
      <w:pPr>
        <w:jc w:val="both"/>
      </w:pPr>
      <w:r>
        <w:t>قابلة لإعادة الإنتاج من محلّل مستقل.</w:t>
      </w:r>
    </w:p>
    <w:p>
      <w:pPr>
        <w:pStyle w:val="ListBullet"/>
      </w:pPr>
      <w:r>
        <w:t>أُزيل احتساب علاوة المخاطر القُطرية مرتين في معدل الخصم؛ ومعدل 29.58% مبنيّ خطوةً بخطوة.</w:t>
      </w:r>
    </w:p>
    <w:p>
      <w:pPr>
        <w:pStyle w:val="ListBullet"/>
      </w:pPr>
      <w:r>
        <w:t>استُخرجت منحنى EBITDA من بنود التكاليف: هامش السنة النهائية 75.1% (وكانت الإصدارات السابقة</w:t>
      </w:r>
    </w:p>
    <w:p>
      <w:pPr>
        <w:jc w:val="both"/>
      </w:pPr>
      <w:r>
        <w:t>تعلن 96.9%).</w:t>
      </w:r>
    </w:p>
    <w:p>
      <w:pPr>
        <w:pStyle w:val="ListBullet"/>
      </w:pPr>
      <w:r>
        <w:t>تُحسب القيمة النهائية بطريقة واحدة (غوردون، g = 4%)، وحصتها من قيمة المشروع 38%.</w:t>
      </w:r>
    </w:p>
    <w:p>
      <w:pPr>
        <w:pStyle w:val="ListBullet"/>
      </w:pPr>
      <w:r>
        <w:t>مضاعف المستثمر 18.4× عند الخروج في 2033، ومعدل عائده الداخلي 51.6%. أمّا معدل العائد الداخلي</w:t>
      </w:r>
    </w:p>
    <w:p>
      <w:pPr>
        <w:jc w:val="both"/>
      </w:pPr>
      <w:r>
        <w:t>للمشروع (182%) فلا يُذكر في التفاوض: فهو يعكس نقص النموذج في تكلفة دخول السوق.</w:t>
      </w:r>
    </w:p>
    <w:p>
      <w:pPr>
        <w:pStyle w:val="ListBullet"/>
      </w:pPr>
      <w:r>
        <w:t>المحاكاة (2,000 تكرار بزرع ثابت) ومخطط تورنادو واختبار ضغط الوسادة النقدية وتحليل تأخر</w:t>
      </w:r>
    </w:p>
    <w:p>
      <w:pPr>
        <w:jc w:val="both"/>
      </w:pPr>
      <w:r>
        <w:t>الإطلاق — كلها محسوبة برمجيًّا.</w:t>
      </w:r>
    </w:p>
    <w:p>
      <w:pPr>
        <w:pStyle w:val="ListBullet"/>
      </w:pPr>
      <w:r>
        <w:t>يُطبَّق خصم المرحلة مرة واحدة.</w:t>
      </w:r>
    </w:p>
    <w:p>
      <w:pPr>
        <w:pStyle w:val="ListBullet"/>
      </w:pPr>
      <w:r>
        <w:t>تُشتق جميع الأرقام من مجموعة فرضيات واحدة</w:t>
      </w:r>
    </w:p>
    <w:p>
      <w:pPr>
        <w:jc w:val="both"/>
      </w:pPr>
      <w:r>
        <w:t>(</w:t>
      </w:r>
      <w:r>
        <w:rPr>
          <w:rFonts w:ascii="Consolas" w:hAnsi="Consolas"/>
          <w:sz w:val="18"/>
        </w:rPr>
        <w:t>03_Финансовая_модель/Модель/assumptions.json</w:t>
      </w:r>
      <w:r>
        <w:t>) وتُسوّى آليًّا.</w:t>
      </w:r>
    </w:p>
    <w:p>
      <w:pPr>
        <w:jc w:val="both"/>
      </w:pPr>
      <w:r>
        <w:t>جاهزية منظومة التقييم لمراجعة محلّل مستقل: الحساب قابل لإعادة الإنتاج، والفرضيات والمخرجات مفتوحة.</w:t>
      </w:r>
    </w:p>
    <w:p>
      <w:pPr>
        <w:pStyle w:val="Heading2"/>
      </w:pPr>
      <w:r>
        <w:t>11. القيود والتحفّظات</w:t>
      </w:r>
    </w:p>
    <w:p>
      <w:pPr>
        <w:pStyle w:val="ListNumber"/>
      </w:pPr>
      <w:r>
        <w:rPr>
          <w:b/>
        </w:rPr>
        <w:t>معيار IVS 2025</w:t>
      </w:r>
      <w:r>
        <w:t>: أُجري التقييم بتطبيق مداخل IVS 105–106.</w:t>
      </w:r>
    </w:p>
    <w:p>
      <w:pPr>
        <w:pStyle w:val="ListNumber"/>
      </w:pPr>
      <w:r>
        <w:rPr>
          <w:b/>
        </w:rPr>
        <w:t>تاريخ الحساب</w:t>
      </w:r>
      <w:r>
        <w:t>: 07.09.2026 (المؤشرات v5). وسعر الصرف وعائد سندات OFZ مثبَّتان على نهاية</w:t>
      </w:r>
    </w:p>
    <w:p>
      <w:pPr>
        <w:jc w:val="both"/>
      </w:pPr>
      <w:r>
        <w:t>مايو 2026 ويجب تحديثهما قبل التوجّه إلى مستثمر. وتخضع قيمة الدخول للمراجعة إذا تحرّك سعر الفائدة الرئيس أكثر من 200 نقطة أساس، أو سعر الصرف أكثر من 10%، أو تغيّر النظام التنظيمي.</w:t>
      </w:r>
    </w:p>
    <w:p>
      <w:pPr>
        <w:pStyle w:val="ListNumber"/>
      </w:pPr>
      <w:r>
        <w:rPr>
          <w:b/>
        </w:rPr>
        <w:t>الاعتماد التنظيمي</w:t>
      </w:r>
      <w:r>
        <w:t>: قد يحرّك العاملُ الثنائي لإقرار الحزمة التشريعية (أفق T+36…T+60 شهرًا)</w:t>
      </w:r>
    </w:p>
    <w:p>
      <w:pPr>
        <w:jc w:val="both"/>
      </w:pPr>
      <w:r>
        <w:t>القيمةَ المحسوبة مضاعفيًّا (من ×0.15 إلى ×1.5).</w:t>
      </w:r>
    </w:p>
    <w:p>
      <w:pPr>
        <w:pStyle w:val="ListNumber"/>
      </w:pPr>
      <w:r>
        <w:rPr>
          <w:b/>
        </w:rPr>
        <w:t>استقلال المقيِّم</w:t>
      </w:r>
      <w:r>
        <w:t>: أُعدّت الوثيقة ضمن حزمة المشروع وليست تقرير تقييم مستقلًّا بمعنى</w:t>
      </w:r>
    </w:p>
    <w:p>
      <w:pPr>
        <w:jc w:val="both"/>
      </w:pPr>
      <w:r>
        <w:t>135-FZ. ويستلزم التقييم الرسمي مقيِّمًا مستقلًّا عضوًا في منظمة ذاتية التنظيم.</w:t>
      </w:r>
    </w:p>
    <w:p>
      <w:pPr>
        <w:pStyle w:val="ListNumber"/>
      </w:pPr>
      <w:r>
        <w:rPr>
          <w:b/>
        </w:rPr>
        <w:t>الطلب غير مُتحقَّق منه</w:t>
      </w:r>
      <w:r>
        <w:t>: لا يوجد أي خطاب نوايا موقّع مع بنك أو شركة تأمين؛ والحصة السوقية</w:t>
      </w:r>
    </w:p>
    <w:p>
      <w:pPr>
        <w:jc w:val="both"/>
      </w:pPr>
      <w:r>
        <w:t>مفترضة.</w:t>
      </w:r>
    </w:p>
    <w:p>
      <w:pPr>
        <w:pStyle w:val="ListNumber"/>
      </w:pPr>
      <w:r>
        <w:rPr>
          <w:b/>
        </w:rPr>
        <w:t>وضع wedge</w:t>
      </w:r>
      <w:r>
        <w:t>: للمشروع تهيئة pilot-light صالحة في ظل القانون 259-FZ النافذ (دون تعديل</w:t>
      </w:r>
    </w:p>
    <w:p>
      <w:pPr>
        <w:jc w:val="both"/>
      </w:pPr>
      <w:r>
        <w:t xml:space="preserve">86-FZ) — انظر </w:t>
      </w:r>
      <w:r>
        <w:rPr>
          <w:rFonts w:ascii="Consolas" w:hAnsi="Consolas"/>
          <w:sz w:val="18"/>
        </w:rPr>
        <w:t>04_Бизнес-план/Wedge_pilot-light.md</w:t>
      </w:r>
      <w:r>
        <w:t>.</w:t>
      </w:r>
    </w:p>
    <w:p>
      <w:pPr>
        <w:pStyle w:val="Heading2"/>
      </w:pPr>
      <w:r>
        <w:t>12. الخلاصة النهائية</w:t>
      </w:r>
    </w:p>
    <w:p>
      <w:pPr>
        <w:jc w:val="both"/>
      </w:pPr>
      <w:r>
        <w:rPr>
          <w:b/>
        </w:rPr>
        <w:t>قيمة الدخول المحسوبة لـ CPFSR في مرحلة «MVP + جانب عميل جاهز» (حساب 07.09.2026):</w:t>
      </w:r>
    </w:p>
    <w:p>
      <w:pPr>
        <w:pStyle w:val="ListBullet"/>
      </w:pPr>
      <w:r>
        <w:rPr>
          <w:b/>
        </w:rPr>
        <w:t>القيمة الأساسية:</w:t>
      </w:r>
      <w:r>
        <w:t xml:space="preserve"> 248 مليون $ (نحو 17.74 مليار ₽).</w:t>
      </w:r>
    </w:p>
    <w:p>
      <w:pPr>
        <w:pStyle w:val="ListBullet"/>
      </w:pPr>
      <w:r>
        <w:rPr>
          <w:b/>
        </w:rPr>
        <w:t>النطاق حسب السيناريوهات:</w:t>
      </w:r>
      <w:r>
        <w:t xml:space="preserve"> 164–301 مليون $ (11.74–21.56 مليار ₽).</w:t>
      </w:r>
    </w:p>
    <w:p>
      <w:pPr>
        <w:pStyle w:val="ListBullet"/>
      </w:pPr>
      <w:r>
        <w:rPr>
          <w:b/>
        </w:rPr>
        <w:t>قيمة المشروع المتوقعة عبر ثلاثة سيناريوهات:</w:t>
      </w:r>
      <w:r>
        <w:t xml:space="preserve"> 64.7 مليار ₽.</w:t>
      </w:r>
    </w:p>
    <w:p>
      <w:pPr>
        <w:pStyle w:val="ListBullet"/>
      </w:pPr>
      <w:r>
        <w:rPr>
          <w:b/>
        </w:rPr>
        <w:t>مدخل الدخل (النقطة العليا في الترجيح):</w:t>
      </w:r>
      <w:r>
        <w:t xml:space="preserve"> 352 مليون $.</w:t>
      </w:r>
    </w:p>
    <w:p>
      <w:pPr>
        <w:jc w:val="both"/>
      </w:pPr>
      <w:r>
        <w:t xml:space="preserve">وعند جولة أولى قدرها 25 مليون $ (1.8 مليار ₽) يمنح الهيكل المستثمر </w:t>
      </w:r>
      <w:r>
        <w:rPr>
          <w:b/>
        </w:rPr>
        <w:t>9.21 %</w:t>
      </w:r>
      <w:r>
        <w:t xml:space="preserve"> عند قيمة بعد التمويل قدرها 273 مليون $ (19.54 مليار ₽).</w:t>
      </w:r>
    </w:p>
    <w:p>
      <w:pPr>
        <w:ind w:left="360"/>
      </w:pPr>
      <w:r>
        <w:rPr>
          <w:i/>
          <w:color w:val="444444"/>
        </w:rPr>
        <w:t>هذه قيمة محسوبة لا سعر سوق: لم تُبرم أي صفقة على المشروع، والفارق بين المداخل اثنا عشر ضعفًا، ومداخل المرحلة المبكرة تعطي 20–35 مليون $. وقرار سعر التفاوض يعود إلى مالك المشروع.</w:t>
      </w:r>
    </w:p>
    <w:p>
      <w:pPr>
        <w:jc w:val="both"/>
      </w:pPr>
      <w:r>
        <w:rPr>
          <w:b/>
        </w:rPr>
        <w:t>مستوى جاهزية المشروع (TRL/IRL):</w:t>
      </w:r>
    </w:p>
    <w:p>
      <w:pPr>
        <w:pStyle w:val="ListBullet"/>
      </w:pPr>
      <w:r>
        <w:t>العمل المفاهيمي والقانوني والمالي والتقني والتصميمي — مكتمل.</w:t>
      </w:r>
    </w:p>
    <w:p>
      <w:pPr>
        <w:pStyle w:val="ListBullet"/>
      </w:pPr>
      <w:r>
        <w:t>Wedge pilot-light ضمن 259-FZ القائم — مُهيكَل.</w:t>
      </w:r>
    </w:p>
    <w:p>
      <w:pPr>
        <w:pStyle w:val="ListBullet"/>
      </w:pPr>
      <w:r>
        <w:t>تطبيق الجوّال للعميل PWA — جاهز للنشر (Service Worker + offline.html + أيقونات PNG 192/512/1024 + mipmap + screenshots + feature graphic).</w:t>
      </w:r>
    </w:p>
    <w:p>
      <w:pPr>
        <w:pStyle w:val="ListBullet"/>
      </w:pPr>
      <w:r>
        <w:t>وثائق التصميم وفق GOST 19 (13 وثيقة بترقيم صحيح) — مكتملة.</w:t>
      </w:r>
    </w:p>
    <w:p>
      <w:pPr>
        <w:pStyle w:val="ListBullet"/>
      </w:pPr>
      <w:r>
        <w:t>builds المنصات (Android / iOS / Windows) — جاهزة.</w:t>
      </w:r>
    </w:p>
    <w:p>
      <w:pPr>
        <w:pStyle w:val="ListBullet"/>
      </w:pPr>
      <w:r>
        <w:t>حزمة النشر RuStore — مجمَّعة؛ إزالة الإعلان عن خدمة مرخَّصة.</w:t>
      </w:r>
    </w:p>
    <w:p>
      <w:pPr>
        <w:pStyle w:val="ListBullet"/>
      </w:pPr>
      <w:r>
        <w:t>الجانب الخادم — قيد التطوير (12–18 شهرًا حتى الإطلاق الصناعي).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