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Incorporation of the Operator JSC and Regulatory Registration</w:t>
      </w:r>
    </w:p>
    <w:p>
      <w:pPr>
        <w:jc w:val="both"/>
      </w:pPr>
      <w:r>
        <w:rPr>
          <w:b/>
        </w:rPr>
        <w:t>Document:</w:t>
      </w:r>
      <w:r>
        <w:t xml:space="preserve"> project for the incorporation of the operator legal entity and the plan of parallel regulatory registrations. </w:t>
      </w:r>
      <w:r>
        <w:rPr>
          <w:b/>
        </w:rPr>
        <w:t>Goal:</w:t>
      </w:r>
      <w:r>
        <w:t xml:space="preserve"> to close the RED flags B5 (no corporate operator) and B6 (no Roskomnadzor registration) of the consolidated audit of 24.05.2026. </w:t>
      </w:r>
      <w:r>
        <w:rPr>
          <w:b/>
        </w:rPr>
        <w:t>Author of the concept and sole founder:</w:t>
      </w:r>
      <w:r>
        <w:t xml:space="preserve"> Abdul-Khakim Akhmadovich Kagirov (deposit certificate No. 4011265 of 19.12.2024). </w:t>
      </w:r>
      <w:r>
        <w:rPr>
          <w:b/>
        </w:rPr>
        <w:t>Date:</w:t>
      </w:r>
      <w:r>
        <w:t xml:space="preserve"> 24.05.2026.</w:t>
      </w:r>
    </w:p>
    <w:p>
      <w:pPr>
        <w:pStyle w:val="Heading2"/>
      </w:pPr>
      <w:r>
        <w:t>1. Corporate structure</w:t>
      </w:r>
    </w:p>
    <w:p>
      <w:pPr>
        <w:pStyle w:val="Heading3"/>
      </w:pPr>
      <w:r>
        <w:t>1.1. Type of legal entity</w:t>
      </w:r>
    </w:p>
    <w:p>
      <w:pPr>
        <w:jc w:val="both"/>
      </w:pPr>
      <w:r>
        <w:rPr>
          <w:b/>
        </w:rPr>
        <w:t>JSC "CP RSFSR" (non-public joint-stock company, art. 7 of Federal Law No. 208-FZ of 26.12.1995 "On Joint-Stock Companies").</w:t>
      </w:r>
    </w:p>
    <w:p>
      <w:pPr>
        <w:jc w:val="both"/>
      </w:pPr>
      <w:r>
        <w:t>Reasons for the choice of form:</w:t>
      </w:r>
    </w:p>
    <w:p>
      <w:pPr>
        <w:pStyle w:val="ListBullet"/>
      </w:pPr>
      <w:r>
        <w:t>Compliance with art. 5 part 1 of 259-FZ (the requirement for the operator of a DFA-issuance IS — a non-public JSC, an LLC or a credit institution).</w:t>
      </w:r>
    </w:p>
    <w:p>
      <w:pPr>
        <w:pStyle w:val="ListBullet"/>
      </w:pPr>
      <w:r>
        <w:t>Allows targeted work with investors via the issue of preferred shares.</w:t>
      </w:r>
    </w:p>
    <w:p>
      <w:pPr>
        <w:pStyle w:val="ListBullet"/>
      </w:pPr>
      <w:r>
        <w:t>Permits participation in interagency projects of the VEB.RF / Ministry of Economic Development level.</w:t>
      </w:r>
    </w:p>
    <w:p>
      <w:pPr>
        <w:pStyle w:val="Heading3"/>
      </w:pPr>
      <w:r>
        <w:t>1.2. Share capital and own funds</w:t>
      </w:r>
    </w:p>
    <w:p>
      <w:pPr>
        <w:jc w:val="both"/>
      </w:pPr>
      <w:r>
        <w:rPr>
          <w:b/>
        </w:rPr>
        <w:t>Notice (legal distinction under 208-FZ vs CBR Directive 4336-U):</w:t>
      </w:r>
      <w:r>
        <w:t xml:space="preserve"> the share capital (art. 25 of 208-FZ) and the own funds of the DFA-IS operator (CBR Directive 4336-U as developed from 779-P) are different categories. Obtaining the status of an operator of a DFA IS simultaneously requires:</w:t>
      </w:r>
    </w:p>
    <w:p>
      <w:pPr>
        <w:pStyle w:val="ListBullet"/>
      </w:pPr>
      <w:r>
        <w:rPr>
          <w:b/>
        </w:rPr>
        <w:t>Share capital of the JSC:</w:t>
      </w:r>
      <w:r>
        <w:t xml:space="preserve"> not less than ₽100,000 (the minimum under art. 26 of 208-FZ for a non-public JSC). At incorporation, ≥ ₽10,000,000 of paid-up ordinary shares is planned.</w:t>
      </w:r>
    </w:p>
    <w:p>
      <w:pPr>
        <w:pStyle w:val="ListBullet"/>
      </w:pPr>
      <w:r>
        <w:rPr>
          <w:b/>
        </w:rPr>
        <w:t>Own funds (capital) ≥ ₽50,000,000</w:t>
      </w:r>
      <w:r>
        <w:t xml:space="preserve"> (the requirement of clause 1.2 of CBR Directive 4336-U). Formed from paid-up share capital, share premium, retained earnings and other sources under the CBR methodology. Confirmed by an auditor's opinion.</w:t>
      </w:r>
    </w:p>
    <w:p>
      <w:pPr>
        <w:jc w:val="both"/>
      </w:pPr>
      <w:r>
        <w:t>Structure as at incorporation:</w:t>
      </w:r>
    </w:p>
    <w:p>
      <w:pPr>
        <w:pStyle w:val="ListBullet"/>
      </w:pPr>
      <w:r>
        <w:t>100% of ordinary shares — with the founder.</w:t>
      </w:r>
    </w:p>
    <w:p>
      <w:pPr>
        <w:pStyle w:val="ListBullet"/>
      </w:pPr>
      <w:r>
        <w:t>A share capital of ≥ ₽10 mn + contribution to additional capital / share premium after the Seed round provide aggregate own funds of ≥ ₽50 mn by the time of filing with the register of operators of DFA ISs.</w:t>
      </w:r>
    </w:p>
    <w:p>
      <w:pPr>
        <w:pStyle w:val="ListBullet"/>
      </w:pPr>
      <w:r>
        <w:t>At later rounds — the issue of preferred shares with special rights (protection against dilution of control).</w:t>
      </w:r>
    </w:p>
    <w:p>
      <w:pPr>
        <w:pStyle w:val="Heading3"/>
      </w:pPr>
      <w:r>
        <w:t>1.3. Officers (compliance with 779-P)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779-P requirement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Appointment timing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General Director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Higher economic / legal education; ≥ 3 years of experience in senior positions in the financial sector; qualification match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mo. after incorporation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Chair of the Board of Directors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Independent; reputation confirmed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Head of Compliance (HOC)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ICA / IRM / ACAMS certificate or equivalent; ≥ 5 years in AML/KYC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Chief Information Security Officer (CISO)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FSTEC certificate; ≥ 5 years on CII-1 / UZ-1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Chief Counsel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Specialisation in 259-FZ / 779-P / 152-FZ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Chief Risk Officer (CRO)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FRM / PRM or equivalent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Internal Auditor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Member of an SRO of auditors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Chief Accountant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Compliance with art. 7 of Federal Law No. 402-FZ "On Accounting", and the requirements of art. 11.1 of 86-FZ for officers of financial infrastructure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mo.</w:t>
            </w:r>
          </w:p>
        </w:tc>
      </w:tr>
    </w:tbl>
    <w:p/>
    <w:p>
      <w:pPr>
        <w:pStyle w:val="Heading3"/>
      </w:pPr>
      <w:r>
        <w:t>1.4. Founding documents</w:t>
      </w:r>
    </w:p>
    <w:p>
      <w:pPr>
        <w:jc w:val="both"/>
      </w:pPr>
      <w:r>
        <w:t>Within the incorporation, the following package is prepared:</w:t>
      </w:r>
    </w:p>
    <w:p>
      <w:pPr>
        <w:pStyle w:val="ListNumber"/>
      </w:pPr>
      <w:r>
        <w:rPr>
          <w:b/>
        </w:rPr>
        <w:t>Charter of JSC "CP RSFSR"</w:t>
      </w:r>
      <w:r>
        <w:t xml:space="preserve"> (based on the model charter, with special provisions under 779-P).</w:t>
      </w:r>
    </w:p>
    <w:p>
      <w:pPr>
        <w:pStyle w:val="ListNumber"/>
      </w:pPr>
      <w:r>
        <w:rPr>
          <w:b/>
        </w:rPr>
        <w:t>Sole founder's resolution</w:t>
      </w:r>
      <w:r>
        <w:t xml:space="preserve"> on the incorporation of the JSC.</w:t>
      </w:r>
    </w:p>
    <w:p>
      <w:pPr>
        <w:pStyle w:val="ListNumber"/>
      </w:pPr>
      <w:r>
        <w:rPr>
          <w:b/>
        </w:rPr>
        <w:t>Agreement on the incorporation of the JSC</w:t>
      </w:r>
      <w:r>
        <w:t>.</w:t>
      </w:r>
    </w:p>
    <w:p>
      <w:pPr>
        <w:pStyle w:val="ListNumber"/>
      </w:pPr>
      <w:r>
        <w:rPr>
          <w:b/>
        </w:rPr>
        <w:t>Application for state registration</w:t>
      </w:r>
      <w:r>
        <w:t xml:space="preserve"> (form Р11001) to the Federal Tax Service.</w:t>
      </w:r>
    </w:p>
    <w:p>
      <w:pPr>
        <w:pStyle w:val="ListNumber"/>
      </w:pPr>
      <w:r>
        <w:rPr>
          <w:b/>
        </w:rPr>
        <w:t>Document confirming payment of the share capital</w:t>
      </w:r>
      <w:r>
        <w:t xml:space="preserve"> (at incorporation — not less than 50% of the share capital).</w:t>
      </w:r>
    </w:p>
    <w:p>
      <w:pPr>
        <w:jc w:val="both"/>
      </w:pPr>
      <w:r>
        <w:t xml:space="preserve">Preparation of the package — </w:t>
      </w:r>
      <w:r>
        <w:rPr>
          <w:b/>
        </w:rPr>
        <w:t>T+0…T+2 mo.</w:t>
      </w:r>
      <w:r>
        <w:t xml:space="preserve"> from the decision to launch.</w:t>
      </w:r>
    </w:p>
    <w:p>
      <w:pPr>
        <w:pStyle w:val="Heading3"/>
      </w:pPr>
      <w:r>
        <w:t>1.5. Ownership structure (target)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Founder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State capital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Top management (ESOP)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Incorporation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After the RUB 1.8 bn (USD 25M) round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85.8%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9.21%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5.0% (ESOP)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After Series A (T+18 mo.)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64%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11% (ESOP + new)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After Series B with state capital (T+36 mo.)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48%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12%</w:t>
            </w:r>
          </w:p>
        </w:tc>
      </w:tr>
    </w:tbl>
    <w:p/>
    <w:p>
      <w:pPr>
        <w:pStyle w:val="Heading2"/>
      </w:pPr>
      <w:r>
        <w:t>2. Placement on regulatory registers (in parallel with incorporation)</w:t>
      </w:r>
    </w:p>
    <w:p>
      <w:pPr>
        <w:pStyle w:val="Heading3"/>
      </w:pPr>
      <w:r>
        <w:t>2.1. Registration as a personal-data operator (art. 22 of 152-FZ)</w:t>
      </w:r>
    </w:p>
    <w:p>
      <w:pPr>
        <w:jc w:val="both"/>
      </w:pPr>
      <w:r>
        <w:rPr>
          <w:b/>
        </w:rPr>
        <w:t>Timing:</w:t>
      </w:r>
      <w:r>
        <w:t xml:space="preserve"> notification to Roskomnadzor — </w:t>
      </w:r>
      <w:r>
        <w:rPr>
          <w:b/>
        </w:rPr>
        <w:t>T+0.5 mo.</w:t>
      </w:r>
      <w:r>
        <w:t xml:space="preserve"> (before any processing of users' personal data in the demo app begins).</w:t>
      </w:r>
    </w:p>
    <w:p>
      <w:pPr>
        <w:jc w:val="both"/>
      </w:pPr>
      <w:r>
        <w:rPr>
          <w:b/>
        </w:rPr>
        <w:t>Contents of the notification:</w:t>
      </w:r>
    </w:p>
    <w:p>
      <w:pPr>
        <w:pStyle w:val="ListBullet"/>
      </w:pPr>
      <w:r>
        <w:t>The purposes of PD processing.</w:t>
      </w:r>
    </w:p>
    <w:p>
      <w:pPr>
        <w:pStyle w:val="ListBullet"/>
      </w:pPr>
      <w:r>
        <w:t>Categories of PD (name, INN, SNILS, biometrics under 572-FZ, passport data).</w:t>
      </w:r>
    </w:p>
    <w:p>
      <w:pPr>
        <w:pStyle w:val="ListBullet"/>
      </w:pPr>
      <w:r>
        <w:t>Categories of PD subjects.</w:t>
      </w:r>
    </w:p>
    <w:p>
      <w:pPr>
        <w:pStyle w:val="ListBullet"/>
      </w:pPr>
      <w:r>
        <w:t>The list of actions (collection, recording, systematisation, storage, use, transfer, deletion).</w:t>
      </w:r>
    </w:p>
    <w:p>
      <w:pPr>
        <w:pStyle w:val="ListBullet"/>
      </w:pPr>
      <w:r>
        <w:t>A description of protection measures (Government Resolution No. 1119, FSTEC Order No. 21 / FSB orders).</w:t>
      </w:r>
    </w:p>
    <w:p>
      <w:pPr>
        <w:pStyle w:val="ListBullet"/>
      </w:pPr>
      <w:r>
        <w:t>Information on cross-border transfers (absent).</w:t>
      </w:r>
    </w:p>
    <w:p>
      <w:pPr>
        <w:pStyle w:val="ListBullet"/>
      </w:pPr>
      <w:r>
        <w:t>The start date of processing.</w:t>
      </w:r>
    </w:p>
    <w:p>
      <w:pPr>
        <w:pStyle w:val="ListBullet"/>
      </w:pPr>
      <w:r>
        <w:t>The processing term.</w:t>
      </w:r>
    </w:p>
    <w:p>
      <w:pPr>
        <w:jc w:val="both"/>
      </w:pPr>
      <w:r>
        <w:rPr>
          <w:b/>
        </w:rPr>
        <w:t>Status as at 24.05.2026 in the demo app:</w:t>
      </w:r>
      <w:r>
        <w:t xml:space="preserve"> real PD is not collected; the Roskomnadzor notification is filed concurrently with the registration of the JSC, in order to exclude the offence under art. 13.11 of the Code of Administrative Offences.</w:t>
      </w:r>
    </w:p>
    <w:p>
      <w:pPr>
        <w:pStyle w:val="Heading3"/>
      </w:pPr>
      <w:r>
        <w:t>2.2. Registration with Rosfinmonitoring (115-FZ)</w:t>
      </w:r>
    </w:p>
    <w:p>
      <w:pPr>
        <w:jc w:val="both"/>
      </w:pPr>
      <w:r>
        <w:rPr>
          <w:b/>
        </w:rPr>
        <w:t>Timing:</w:t>
      </w:r>
      <w:r>
        <w:t xml:space="preserve"> </w:t>
      </w:r>
      <w:r>
        <w:rPr>
          <w:b/>
        </w:rPr>
        <w:t>T+1 mo.</w:t>
      </w:r>
      <w:r>
        <w:t xml:space="preserve"> Appointment of the special AML/CFT officer; development of the IC Rules (Internal Control Rules); registration in the Rosfinmonitoring personal account.</w:t>
      </w:r>
    </w:p>
    <w:p>
      <w:pPr>
        <w:pStyle w:val="Heading3"/>
      </w:pPr>
      <w:r>
        <w:t>2.3. Application to the register of DFA-IS operators (Bank of Russia, 779-P)</w:t>
      </w:r>
    </w:p>
    <w:p>
      <w:pPr>
        <w:jc w:val="both"/>
      </w:pPr>
      <w:r>
        <w:rPr>
          <w:b/>
        </w:rPr>
        <w:t>Timing:</w:t>
      </w:r>
      <w:r>
        <w:t xml:space="preserve"> </w:t>
      </w:r>
      <w:r>
        <w:rPr>
          <w:b/>
        </w:rPr>
        <w:t>T+3…T+6 mo.</w:t>
      </w:r>
      <w:r>
        <w:t xml:space="preserve"> after incorporation of the JSC and assembly of the complete documentation package.</w:t>
      </w:r>
    </w:p>
    <w:p>
      <w:pPr>
        <w:jc w:val="both"/>
      </w:pPr>
      <w:r>
        <w:rPr>
          <w:b/>
        </w:rPr>
        <w:t>Contents of the application:</w:t>
      </w:r>
    </w:p>
    <w:p>
      <w:pPr>
        <w:pStyle w:val="ListBullet"/>
      </w:pPr>
      <w:r>
        <w:t>Founding documents of the JSC.</w:t>
      </w:r>
    </w:p>
    <w:p>
      <w:pPr>
        <w:pStyle w:val="ListBullet"/>
      </w:pPr>
      <w:r>
        <w:t>Information on officers (under 779-P).</w:t>
      </w:r>
    </w:p>
    <w:p>
      <w:pPr>
        <w:pStyle w:val="ListBullet"/>
      </w:pPr>
      <w:r>
        <w:t>IS rules (art. 6 of 259-FZ).</w:t>
      </w:r>
    </w:p>
    <w:p>
      <w:pPr>
        <w:pStyle w:val="ListBullet"/>
      </w:pPr>
      <w:r>
        <w:t>Description of the DLT infrastructure (with a specific DLT vendor: Masterchain / equivalent).</w:t>
      </w:r>
    </w:p>
    <w:p>
      <w:pPr>
        <w:pStyle w:val="ListBullet"/>
      </w:pPr>
      <w:r>
        <w:t>Protection measures under GOST R 57580.1 level 4.</w:t>
      </w:r>
    </w:p>
    <w:p>
      <w:pPr>
        <w:pStyle w:val="ListBullet"/>
      </w:pPr>
      <w:r>
        <w:t>FSTEC / FSB opinion.</w:t>
      </w:r>
    </w:p>
    <w:p>
      <w:pPr>
        <w:pStyle w:val="ListBullet"/>
      </w:pPr>
      <w:r>
        <w:t>Independent IS-audit opinion.</w:t>
      </w:r>
    </w:p>
    <w:p>
      <w:pPr>
        <w:pStyle w:val="ListBullet"/>
      </w:pPr>
      <w:r>
        <w:t>Documents confirming compliance with 779-P (business continuity, operational risk under 716-P, CIPF).</w:t>
      </w:r>
    </w:p>
    <w:p>
      <w:pPr>
        <w:pStyle w:val="ListBullet"/>
      </w:pPr>
      <w:r>
        <w:t xml:space="preserve">Operator's business plan (based on </w:t>
      </w:r>
      <w:r>
        <w:rPr>
          <w:rFonts w:ascii="Consolas" w:hAnsi="Consolas"/>
          <w:sz w:val="18"/>
        </w:rPr>
        <w:t>04_Бизнес-план/Бизнес-план_ЦП_РСФСР.md</w:t>
      </w:r>
      <w:r>
        <w:t xml:space="preserve"> after refactor).</w:t>
      </w:r>
    </w:p>
    <w:p>
      <w:pPr>
        <w:pStyle w:val="ListBullet"/>
      </w:pPr>
      <w:r>
        <w:t xml:space="preserve">Financial model (based on </w:t>
      </w:r>
      <w:r>
        <w:rPr>
          <w:rFonts w:ascii="Consolas" w:hAnsi="Consolas"/>
          <w:sz w:val="18"/>
        </w:rPr>
        <w:t>03_Финансовая_модель/Финансовая_модель_ЦП_РСФСР.md</w:t>
      </w:r>
      <w:r>
        <w:t xml:space="preserve"> after refactor).</w:t>
      </w:r>
    </w:p>
    <w:p>
      <w:pPr>
        <w:pStyle w:val="Heading3"/>
      </w:pPr>
      <w:r>
        <w:t>2.4. Categorisation as CII (187-FZ, Government Resolution No. 127)</w:t>
      </w:r>
    </w:p>
    <w:p>
      <w:pPr>
        <w:jc w:val="both"/>
      </w:pPr>
      <w:r>
        <w:rPr>
          <w:b/>
        </w:rPr>
        <w:t>Timing:</w:t>
      </w:r>
      <w:r>
        <w:t xml:space="preserve"> </w:t>
      </w:r>
      <w:r>
        <w:rPr>
          <w:b/>
        </w:rPr>
        <w:t>T+6…T+12 mo.</w:t>
      </w:r>
      <w:r>
        <w:t xml:space="preserve"> (after actual operation). Filing of the categorisation application with FSTEC; expected category — </w:t>
      </w:r>
      <w:r>
        <w:rPr>
          <w:b/>
        </w:rPr>
        <w:t>1st (a significant CII facility)</w:t>
      </w:r>
      <w:r>
        <w:t>.</w:t>
      </w:r>
    </w:p>
    <w:p>
      <w:pPr>
        <w:pStyle w:val="Heading3"/>
      </w:pPr>
      <w:r>
        <w:t>2.5. Certification of CIPF (FSB) and information-protection means (FSTEC)</w:t>
      </w:r>
    </w:p>
    <w:p>
      <w:pPr>
        <w:jc w:val="both"/>
      </w:pPr>
      <w:r>
        <w:rPr>
          <w:b/>
        </w:rPr>
        <w:t>Timing:</w:t>
      </w:r>
      <w:r>
        <w:t xml:space="preserve"> </w:t>
      </w:r>
      <w:r>
        <w:rPr>
          <w:b/>
        </w:rPr>
        <w:t>T+9…T+18 mo.</w:t>
      </w:r>
      <w:r>
        <w:t xml:space="preserve"> Obtaining FSB certificates for CIPF (CryptoPro / SignalCom / equivalent) and FSTEC certificates for perimeter-protection means.</w:t>
      </w:r>
    </w:p>
    <w:p>
      <w:pPr>
        <w:pStyle w:val="Heading3"/>
      </w:pPr>
      <w:r>
        <w:t>2.6. Applications to Rospatent for registration of computer programs (art. 1262 of the CC)</w:t>
      </w:r>
    </w:p>
    <w:p>
      <w:pPr>
        <w:jc w:val="both"/>
      </w:pPr>
      <w:r>
        <w:rPr>
          <w:b/>
        </w:rPr>
        <w:t>Timing:</w:t>
      </w:r>
      <w:r>
        <w:t xml:space="preserve"> </w:t>
      </w:r>
      <w:r>
        <w:rPr>
          <w:b/>
        </w:rPr>
        <w:t>T+1…T+3 mo.</w:t>
      </w:r>
      <w:r>
        <w:t xml:space="preserve"> Registration of four components:</w:t>
      </w:r>
    </w:p>
    <w:p>
      <w:pPr>
        <w:pStyle w:val="ListNumber"/>
      </w:pPr>
      <w:r>
        <w:t>Mobile application (PWA + Capacitor builds).</w:t>
      </w:r>
    </w:p>
    <w:p>
      <w:pPr>
        <w:pStyle w:val="ListNumber"/>
      </w:pPr>
      <w:r>
        <w:t>Backend.</w:t>
      </w:r>
    </w:p>
    <w:p>
      <w:pPr>
        <w:pStyle w:val="ListNumber"/>
      </w:pPr>
      <w:r>
        <w:t>Operator's DLT node.</w:t>
      </w:r>
    </w:p>
    <w:p>
      <w:pPr>
        <w:pStyle w:val="ListNumber"/>
      </w:pPr>
      <w:r>
        <w:t>KYC module.</w:t>
      </w:r>
    </w:p>
    <w:p>
      <w:pPr>
        <w:pStyle w:val="Heading3"/>
      </w:pPr>
      <w:r>
        <w:t>2.7. Trademark application (art. 1477 of the CC)</w:t>
      </w:r>
    </w:p>
    <w:p>
      <w:pPr>
        <w:jc w:val="both"/>
      </w:pPr>
      <w:r>
        <w:rPr>
          <w:b/>
        </w:rPr>
        <w:t>Timing:</w:t>
      </w:r>
      <w:r>
        <w:t xml:space="preserve"> </w:t>
      </w:r>
      <w:r>
        <w:rPr>
          <w:b/>
        </w:rPr>
        <w:t>T+1 mo.</w:t>
      </w:r>
      <w:r>
        <w:t xml:space="preserve"> Application for registration of the word signs "CP RSFSR" and "RSFSR" in Nice Classes 9 (software), 36 (financial services), 42 (scientific and technical services).</w:t>
      </w:r>
    </w:p>
    <w:p>
      <w:pPr>
        <w:pStyle w:val="Heading3"/>
      </w:pPr>
      <w:r>
        <w:t>2.8. Request to the Ministry of Finance (art. 34.2 of the Tax Code)</w:t>
      </w:r>
    </w:p>
    <w:p>
      <w:pPr>
        <w:jc w:val="both"/>
      </w:pPr>
      <w:r>
        <w:rPr>
          <w:b/>
        </w:rPr>
        <w:t>Timing:</w:t>
      </w:r>
      <w:r>
        <w:t xml:space="preserve"> </w:t>
      </w:r>
      <w:r>
        <w:rPr>
          <w:b/>
        </w:rPr>
        <w:t>T+2 mo.</w:t>
      </w:r>
      <w:r>
        <w:t xml:space="preserve"> Written request to the Ministry of Finance to obtain an official tax qualification of:</w:t>
      </w:r>
    </w:p>
    <w:p>
      <w:pPr>
        <w:pStyle w:val="ListBullet"/>
      </w:pPr>
      <w:r>
        <w:t>the swap of the initial DFA for an infrastructural one (art. 39 of the Tax Code vs art. 282.2);</w:t>
      </w:r>
    </w:p>
    <w:p>
      <w:pPr>
        <w:pStyle w:val="ListBullet"/>
      </w:pPr>
      <w:r>
        <w:t>the operator's status as a tax agent under arts. 226.1 / 214.11 of the Tax Code;</w:t>
      </w:r>
    </w:p>
    <w:p>
      <w:pPr>
        <w:pStyle w:val="ListBullet"/>
      </w:pPr>
      <w:r>
        <w:t>the VAT status of DFA operations in the new wording of sub-clause 12.2 of clause 2 of art. 149 of the Tax Code;</w:t>
      </w:r>
    </w:p>
    <w:p>
      <w:pPr>
        <w:pStyle w:val="ListBullet"/>
      </w:pPr>
      <w:r>
        <w:t>the status for simplified identification of operations under part 1.4-2 of art. 7 of 115-FZ.</w:t>
      </w:r>
    </w:p>
    <w:p>
      <w:pPr>
        <w:pStyle w:val="Heading3"/>
      </w:pPr>
      <w:r>
        <w:t>2.9. Application to the Regulatory Legal regime (258-FZ)</w:t>
      </w:r>
    </w:p>
    <w:p>
      <w:pPr>
        <w:jc w:val="both"/>
      </w:pPr>
      <w:r>
        <w:rPr>
          <w:b/>
        </w:rPr>
        <w:t>Timing:</w:t>
      </w:r>
      <w:r>
        <w:t xml:space="preserve"> </w:t>
      </w:r>
      <w:r>
        <w:rPr>
          <w:b/>
        </w:rPr>
        <w:t>T+3 mo.</w:t>
      </w:r>
      <w:r>
        <w:t xml:space="preserve"> Application to the Department of Financial Technologies of the Bank of Russia to conduct pilot-light (see </w:t>
      </w:r>
      <w:r>
        <w:rPr>
          <w:rFonts w:ascii="Consolas" w:hAnsi="Consolas"/>
          <w:sz w:val="18"/>
        </w:rPr>
        <w:t>04_Бизнес-план/Wedge_pilot-light.md</w:t>
      </w:r>
      <w:r>
        <w:t>) under an experimental legal regime.</w:t>
      </w:r>
    </w:p>
    <w:p>
      <w:pPr>
        <w:pStyle w:val="Heading2"/>
      </w:pPr>
      <w:r>
        <w:t>3. Aggregate incorporation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Decision to launch; circulation of the concept to the sole founder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T+0.5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Roskomnadzor notification of PD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Filing of the JSC registration documents with the FTS; appointment of the General Director, Chief Counsel, Chief Accountant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Trademark application to Rospatent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Rospatent applications for the registration of computer programs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Appointment of the CISO, Head of Compliance, Chair of the Board of Directors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Registration with Rosfinmonitoring; approval of the IC Rules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 to the Ministry of Finance on tax qualification (art. 34.2 of the Tax Code)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Appointment of the CRO, Internal Auditor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Application to the Bank of Russia experimental legal regime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Preparation of the document package for the application to the DFA-IS operators' register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Filing of the application to the Bank of Russia register of DFA-IS operators (779-P)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T+9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of CIPF / protection-means 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Categorisation as CII (upon actual operation)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T+18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Receipt of all profile certificates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T+24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Pilot-light launch under the active 259-FZ (see the wedge document)</w:t>
            </w:r>
          </w:p>
        </w:tc>
      </w:tr>
    </w:tbl>
    <w:p/>
    <w:p>
      <w:pPr>
        <w:pStyle w:val="Heading2"/>
      </w:pPr>
      <w:r>
        <w:t>4. Legal risks closed by this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Audit RED flag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Closure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B5</w:t>
            </w:r>
            <w:r>
              <w:rPr>
                <w:sz w:val="17"/>
              </w:rPr>
              <w:t xml:space="preserve"> No corporate operator legal entity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Incorporation of a JSC with share capital ≥ ₽50 mn; plan to appoint officers under 779-P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B6</w:t>
            </w:r>
            <w:r>
              <w:rPr>
                <w:sz w:val="17"/>
              </w:rPr>
              <w:t xml:space="preserve"> Personal-data operator not registered with Roskomnadzor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Roskomnadzor notification at T+0.5 mo.; until then no real PD is collected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B2</w:t>
            </w:r>
            <w:r>
              <w:rPr>
                <w:sz w:val="17"/>
              </w:rPr>
              <w:t xml:space="preserve"> Advertising of an unlicensed financial service in RuStore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RuStore description has been moved to an informational-demonstration register; a disclaimer on the legal status has been added (see </w:t>
            </w:r>
            <w:r>
              <w:rPr>
                <w:rFonts w:ascii="Consolas" w:hAnsi="Consolas"/>
                <w:sz w:val="17"/>
              </w:rPr>
              <w:t>09_Мобильное_приложение/Публикация_RuStore/01_Описание_приложения.md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A-legal AMBER A1</w:t>
            </w:r>
            <w:r>
              <w:rPr>
                <w:sz w:val="17"/>
              </w:rPr>
              <w:t xml:space="preserve"> Taxes on the DFA swap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Ministry of Finance request under art. 34.2 of the Tax Code at T+2 mo.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A-legal AMBER A2</w:t>
            </w:r>
            <w:r>
              <w:rPr>
                <w:sz w:val="17"/>
              </w:rPr>
              <w:t xml:space="preserve"> Tax-agent 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Within the Ministry of Finance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A-legal AMBER A5</w:t>
            </w:r>
            <w:r>
              <w:rPr>
                <w:sz w:val="17"/>
              </w:rPr>
              <w:t xml:space="preserve"> CII categorisation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Filing after 6 months of actual operation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A-legal AMBER A6</w:t>
            </w:r>
            <w:r>
              <w:rPr>
                <w:sz w:val="17"/>
              </w:rPr>
              <w:t xml:space="preserve"> 258-FZ legal regime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Application to the Bank of Russia FinTech Department at T+3 mo.</w:t>
            </w:r>
          </w:p>
        </w:tc>
      </w:tr>
    </w:tbl>
    <w:p/>
    <w:p>
      <w:pPr>
        <w:pStyle w:val="Heading2"/>
      </w:pPr>
      <w:r>
        <w:t>5. Timeline and funding of initial regulatory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₽ mn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JSC incorporation (state fees, legal support, notary)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T+0…T+2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Rospatent applications (4 computer programs + trademark)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Preparation of the 779-P register package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Preparation of the Rosfinmonitoring IC Rules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T+1…T+2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Roskomnadzor notification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T+0.5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support of incorporation (external consultant, 9 mo.)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T+0…T+9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Ministry of Finance tax opinion (legal component)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TOTAL (first block of regulatory expenses)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24.6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</w:tbl>
    <w:p/>
    <w:p>
      <w:pPr>
        <w:jc w:val="both"/>
      </w:pPr>
      <w:r>
        <w:t>This amount is included in the starter round of RUB 1.8 bn (USD 25M).</w:t>
      </w:r>
    </w:p>
    <w:p>
      <w:pPr>
        <w:jc w:val="both"/>
      </w:pPr>
      <w:r>
        <w:rPr>
          <w:b/>
        </w:rPr>
        <w:t>Preparation date:</w:t>
      </w:r>
      <w:r>
        <w:t xml:space="preserve"> 24.05.2026. </w:t>
      </w:r>
      <w:r>
        <w:rPr>
          <w:b/>
        </w:rPr>
        <w:t>Prepared:</w:t>
      </w:r>
      <w:r>
        <w:t xml:space="preserve"> in the context of remediation of the RED flags of the consolidated audit; a unified SoT for the project's regulatory contour.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