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Financial model of the CP RSFSR platform</w:t>
      </w:r>
    </w:p>
    <w:p>
      <w:pPr>
        <w:ind w:left="360"/>
      </w:pPr>
      <w:r>
        <w:rPr>
          <w:b/>
          <w:i/>
          <w:color w:val="444444"/>
        </w:rPr>
        <w:t>Note.</w:t>
      </w:r>
      <w:r>
        <w:rPr>
          <w:i/>
          <w:color w:val="444444"/>
        </w:rPr>
        <w:t xml:space="preserve"> This is a translation of the Russian original. The financial part is generated from the same calculation engine, so the figures coincide with the Russian version. In case of any discrepancy in wording, the Russian version prevails.</w:t>
      </w:r>
    </w:p>
    <w:p>
      <w:pPr>
        <w:jc w:val="both"/>
      </w:pPr>
      <w:r>
        <w:rPr>
          <w:b/>
        </w:rPr>
        <w:t>Author and rights holder:</w:t>
      </w:r>
      <w:r>
        <w:t xml:space="preserve"> Kagirov A.-Kh.A. Deposit certificate No. 4011265 of 19.12.2024 — fixing the priority date and the hash of the work; protection regime — know-how (Art. 1465 Civil Code) plus computer programme (Art. 1262 Civil Code; registration with Rospatent in progress).</w:t>
      </w:r>
    </w:p>
    <w:p>
      <w:pPr>
        <w:jc w:val="both"/>
      </w:pPr>
      <w:r>
        <w:rPr>
          <w:b/>
        </w:rPr>
        <w:t>Edition:</w:t>
      </w:r>
      <w:r>
        <w:t xml:space="preserve"> v5 of 07.09.2026. </w:t>
      </w:r>
      <w:r>
        <w:rPr>
          <w:b/>
        </w:rPr>
        <w:t>Horizon:</w:t>
      </w:r>
      <w:r>
        <w:t xml:space="preserve"> 10 years (2027–2036) plus terminal value. </w:t>
      </w:r>
      <w:r>
        <w:rPr>
          <w:b/>
        </w:rPr>
        <w:t>Valuation date:</w:t>
      </w:r>
      <w:r>
        <w:t xml:space="preserve"> 31.12.2026. </w:t>
      </w:r>
      <w:r>
        <w:rPr>
          <w:b/>
        </w:rPr>
        <w:t>Currency:</w:t>
      </w:r>
      <w:r>
        <w:t xml:space="preserve"> roubles; unless stated otherwise, RUB mn.</w:t>
      </w:r>
    </w:p>
    <w:p>
      <w:pPr>
        <w:ind w:left="360"/>
      </w:pPr>
      <w:r>
        <w:rPr>
          <w:b/>
          <w:i/>
          <w:color w:val="444444"/>
        </w:rPr>
        <w:t>Every figure in this document is computed programmatically</w:t>
      </w:r>
      <w:r>
        <w:rPr>
          <w:i/>
          <w:color w:val="444444"/>
        </w:rPr>
        <w:t xml:space="preserve"> from a single set of assumptions in </w:t>
      </w:r>
      <w:r>
        <w:rPr>
          <w:rFonts w:ascii="Consolas" w:hAnsi="Consolas"/>
          <w:i/>
          <w:color w:val="444444"/>
          <w:sz w:val="18"/>
        </w:rPr>
        <w:t>Модель/assumptions.json</w:t>
      </w:r>
      <w:r>
        <w:rPr>
          <w:i/>
          <w:color w:val="444444"/>
        </w:rPr>
        <w:t xml:space="preserve">. The document is assembled by </w:t>
      </w:r>
      <w:r>
        <w:rPr>
          <w:rFonts w:ascii="Consolas" w:hAnsi="Consolas"/>
          <w:i/>
          <w:color w:val="444444"/>
          <w:sz w:val="18"/>
        </w:rPr>
        <w:t>Модель/собрать_документ_i18n.py</w:t>
      </w:r>
      <w:r>
        <w:rPr>
          <w:i/>
          <w:color w:val="444444"/>
        </w:rPr>
        <w:t xml:space="preserve">; figures must not be edited in the text — they are overwritten at the next build. Machine-readable export: </w:t>
      </w:r>
      <w:r>
        <w:rPr>
          <w:rFonts w:ascii="Consolas" w:hAnsi="Consolas"/>
          <w:i/>
          <w:color w:val="444444"/>
          <w:sz w:val="18"/>
        </w:rPr>
        <w:t>Модель/Выгрузка/*.csv</w:t>
      </w:r>
      <w:r>
        <w:rPr>
          <w:i/>
          <w:color w:val="444444"/>
        </w:rPr>
        <w:t>.</w:t>
      </w:r>
    </w:p>
    <w:p>
      <w:pPr>
        <w:ind w:left="360"/>
      </w:pPr>
      <w:r>
        <w:rPr>
          <w:b/>
          <w:i/>
          <w:color w:val="444444"/>
        </w:rPr>
        <w:t>Convergence self-check passed:</w:t>
      </w:r>
      <w:r>
        <w:rPr>
          <w:i/>
          <w:color w:val="444444"/>
        </w:rPr>
        <w:t xml:space="preserve"> total revenue equals the sum of its lines, operating expenses equal payroll plus other costs, EBITDA equals revenue less operating expenses, free cash flow equals EBITDA less profit tax, less the increase in working capital and less capital expenditure, and enterprise value equals discounted cash flows plus discounted terminal value.</w:t>
      </w:r>
    </w:p>
    <w:p>
      <w:pPr>
        <w:pStyle w:val="Heading2"/>
      </w:pPr>
      <w:r>
        <w:t>What changed in edition v5</w:t>
      </w:r>
    </w:p>
    <w:p>
      <w:pPr>
        <w:jc w:val="both"/>
      </w:pPr>
      <w:r>
        <w:t>Edition v5 is a recalculation, not a cosmetic edit. Below is what was corrected in substance.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What it was</w:t>
            </w:r>
          </w:p>
        </w:tc>
        <w:tc>
          <w:tcPr>
            <w:tcW w:type="dxa" w:w="4320"/>
          </w:tcPr>
          <w:p>
            <w:r>
              <w:rPr>
                <w:b/>
                <w:sz w:val="17"/>
              </w:rPr>
            </w:r>
            <w:r>
              <w:rPr>
                <w:b/>
                <w:sz w:val="17"/>
              </w:rPr>
              <w:t>What it became and why</w:t>
            </w:r>
          </w:p>
        </w:tc>
      </w:tr>
      <w:tr>
        <w:tc>
          <w:tcPr>
            <w:tcW w:type="dxa" w:w="4320"/>
          </w:tcPr>
          <w:p>
            <w:r>
              <w:rPr>
                <w:sz w:val="17"/>
              </w:rPr>
            </w:r>
            <w:r>
              <w:rPr>
                <w:sz w:val="17"/>
              </w:rPr>
              <w:t>Total revenue did not equal the sum of its lines (in 2034 the lines added up to RUB 175,492 mn against a stated total of RUB 137,905 mn)</w:t>
            </w:r>
          </w:p>
        </w:tc>
        <w:tc>
          <w:tcPr>
            <w:tcW w:type="dxa" w:w="4320"/>
          </w:tcPr>
          <w:p>
            <w:r>
              <w:rPr>
                <w:sz w:val="17"/>
              </w:rPr>
            </w:r>
            <w:r>
              <w:rPr>
                <w:sz w:val="17"/>
              </w:rPr>
              <w:t>The total is computed as the sum of the lines. A discrepancy is impossible by construction</w:t>
            </w:r>
          </w:p>
        </w:tc>
      </w:tr>
      <w:tr>
        <w:tc>
          <w:tcPr>
            <w:tcW w:type="dxa" w:w="4320"/>
          </w:tcPr>
          <w:p>
            <w:r>
              <w:rPr>
                <w:sz w:val="17"/>
              </w:rPr>
            </w:r>
            <w:r>
              <w:rPr>
                <w:sz w:val="17"/>
              </w:rPr>
              <w:t>Appraisal and insurance services (0.8% of volume) were booked as platform revenue in full, although the notes to the model marked them as pass-through with 85% offsetting costs</w:t>
            </w:r>
          </w:p>
        </w:tc>
        <w:tc>
          <w:tcPr>
            <w:tcW w:type="dxa" w:w="4320"/>
          </w:tcPr>
          <w:p>
            <w:r>
              <w:rPr>
                <w:sz w:val="17"/>
              </w:rPr>
            </w:r>
            <w:r>
              <w:rPr>
                <w:sz w:val="17"/>
              </w:rPr>
              <w:t>Recognised net: only the platform's own margin (0.12% of volume) enters revenue. Gross billings are disclosed on a separate memorandum line</w:t>
            </w:r>
          </w:p>
        </w:tc>
      </w:tr>
      <w:tr>
        <w:tc>
          <w:tcPr>
            <w:tcW w:type="dxa" w:w="4320"/>
          </w:tcPr>
          <w:p>
            <w:r>
              <w:rPr>
                <w:sz w:val="17"/>
              </w:rPr>
            </w:r>
            <w:r>
              <w:rPr>
                <w:sz w:val="17"/>
              </w:rPr>
              <w:t>Profit tax rate of 20%</w:t>
            </w:r>
          </w:p>
        </w:tc>
        <w:tc>
          <w:tcPr>
            <w:tcW w:type="dxa" w:w="4320"/>
          </w:tcPr>
          <w:p>
            <w:r>
              <w:rPr>
                <w:sz w:val="17"/>
              </w:rPr>
            </w:r>
            <w:r>
              <w:rPr>
                <w:sz w:val="17"/>
              </w:rPr>
              <w:t>25% — effective from 1 January 2025 (Federal Law 176-FZ of 12.07.2024). The previous rate was no longer in force</w:t>
            </w:r>
          </w:p>
        </w:tc>
      </w:tr>
      <w:tr>
        <w:tc>
          <w:tcPr>
            <w:tcW w:type="dxa" w:w="4320"/>
          </w:tcPr>
          <w:p>
            <w:r>
              <w:rPr>
                <w:sz w:val="17"/>
              </w:rPr>
            </w:r>
            <w:r>
              <w:rPr>
                <w:sz w:val="17"/>
              </w:rPr>
              <w:t>Losses of the early years were not carried forward</w:t>
            </w:r>
          </w:p>
        </w:tc>
        <w:tc>
          <w:tcPr>
            <w:tcW w:type="dxa" w:w="4320"/>
          </w:tcPr>
          <w:p>
            <w:r>
              <w:rPr>
                <w:sz w:val="17"/>
              </w:rPr>
            </w:r>
            <w:r>
              <w:rPr>
                <w:sz w:val="17"/>
              </w:rPr>
              <w:t>Loss carry-forward is applied, capped at 50% of the tax base</w:t>
            </w:r>
          </w:p>
        </w:tc>
      </w:tr>
      <w:tr>
        <w:tc>
          <w:tcPr>
            <w:tcW w:type="dxa" w:w="4320"/>
          </w:tcPr>
          <w:p>
            <w:r>
              <w:rPr>
                <w:sz w:val="17"/>
              </w:rPr>
            </w:r>
            <w:r>
              <w:rPr>
                <w:sz w:val="17"/>
              </w:rPr>
              <w:t>Payroll was not derived from headcount and salary (the 2029 line implied roughly twice the stated headcount, the 2026 line roughly half of it)</w:t>
            </w:r>
          </w:p>
        </w:tc>
        <w:tc>
          <w:tcPr>
            <w:tcW w:type="dxa" w:w="4320"/>
          </w:tcPr>
          <w:p>
            <w:r>
              <w:rPr>
                <w:sz w:val="17"/>
              </w:rPr>
            </w:r>
            <w:r>
              <w:rPr>
                <w:sz w:val="17"/>
              </w:rPr>
              <w:t>Payroll = headcount × salary × 12 × 1.30. Other costs = an indexed base plus a variable share of revenue</w:t>
            </w:r>
          </w:p>
        </w:tc>
      </w:tr>
      <w:tr>
        <w:tc>
          <w:tcPr>
            <w:tcW w:type="dxa" w:w="4320"/>
          </w:tcPr>
          <w:p>
            <w:r>
              <w:rPr>
                <w:sz w:val="17"/>
              </w:rPr>
            </w:r>
            <w:r>
              <w:rPr>
                <w:sz w:val="17"/>
              </w:rPr>
              <w:t>The horizon began in 2025; the first CFA issue was planned for 2026</w:t>
            </w:r>
          </w:p>
        </w:tc>
        <w:tc>
          <w:tcPr>
            <w:tcW w:type="dxa" w:w="4320"/>
          </w:tcPr>
          <w:p>
            <w:r>
              <w:rPr>
                <w:sz w:val="17"/>
              </w:rPr>
            </w:r>
            <w:r>
              <w:rPr>
                <w:sz w:val="17"/>
              </w:rPr>
              <w:t>Horizon 2027–2036. At the date of recalculation there is no information-system operator licence, no regulatory framework and no issues — so the first issue is placed in 2028</w:t>
            </w:r>
          </w:p>
        </w:tc>
      </w:tr>
      <w:tr>
        <w:tc>
          <w:tcPr>
            <w:tcW w:type="dxa" w:w="4320"/>
          </w:tcPr>
          <w:p>
            <w:r>
              <w:rPr>
                <w:sz w:val="17"/>
              </w:rPr>
            </w:r>
            <w:r>
              <w:rPr>
                <w:sz w:val="17"/>
              </w:rPr>
              <w:t>Terminal value was computed sometimes by Gordon with g=2%, sometimes by a three-stage method; the business plan stated g=4%</w:t>
            </w:r>
          </w:p>
        </w:tc>
        <w:tc>
          <w:tcPr>
            <w:tcW w:type="dxa" w:w="4320"/>
          </w:tcPr>
          <w:p>
            <w:r>
              <w:rPr>
                <w:sz w:val="17"/>
              </w:rPr>
            </w:r>
            <w:r>
              <w:rPr>
                <w:sz w:val="17"/>
              </w:rPr>
              <w:t>A single method: Gordon on a normalised cash flow (capital expenditure set equal to depreciation), g = 4%</w:t>
            </w:r>
          </w:p>
        </w:tc>
      </w:tr>
      <w:tr>
        <w:tc>
          <w:tcPr>
            <w:tcW w:type="dxa" w:w="4320"/>
          </w:tcPr>
          <w:p>
            <w:r>
              <w:rPr>
                <w:sz w:val="17"/>
              </w:rPr>
            </w:r>
            <w:r>
              <w:rPr>
                <w:sz w:val="17"/>
              </w:rPr>
              <w:t>The cash-flow series in the valuation report was not derived from the profit and loss account (it ignored working capital and contained unexplained residuals)</w:t>
            </w:r>
          </w:p>
        </w:tc>
        <w:tc>
          <w:tcPr>
            <w:tcW w:type="dxa" w:w="4320"/>
          </w:tcPr>
          <w:p>
            <w:r>
              <w:rPr>
                <w:sz w:val="17"/>
              </w:rPr>
            </w:r>
            <w:r>
              <w:rPr>
                <w:sz w:val="17"/>
              </w:rPr>
              <w:t>The series is derived from the accounts and verified programmatically</w:t>
            </w:r>
          </w:p>
        </w:tc>
      </w:tr>
      <w:tr>
        <w:tc>
          <w:tcPr>
            <w:tcW w:type="dxa" w:w="4320"/>
          </w:tcPr>
          <w:p>
            <w:r>
              <w:rPr>
                <w:sz w:val="17"/>
              </w:rPr>
            </w:r>
            <w:r>
              <w:rPr>
                <w:sz w:val="17"/>
              </w:rPr>
              <w:t>The 60% stage discount was applied twice: inside the income approach and then again on top of the reconciliation of methods</w:t>
            </w:r>
          </w:p>
        </w:tc>
        <w:tc>
          <w:tcPr>
            <w:tcW w:type="dxa" w:w="4320"/>
          </w:tcPr>
          <w:p>
            <w:r>
              <w:rPr>
                <w:sz w:val="17"/>
              </w:rPr>
            </w:r>
            <w:r>
              <w:rPr>
                <w:sz w:val="17"/>
              </w:rPr>
              <w:t>Applied once, and only to approaches that produce the value of a mature business</w:t>
            </w:r>
          </w:p>
        </w:tc>
      </w:tr>
      <w:tr>
        <w:tc>
          <w:tcPr>
            <w:tcW w:type="dxa" w:w="4320"/>
          </w:tcPr>
          <w:p>
            <w:r>
              <w:rPr>
                <w:sz w:val="17"/>
              </w:rPr>
            </w:r>
            <w:r>
              <w:rPr>
                <w:sz w:val="17"/>
              </w:rPr>
              <w:t>A payback of 2.8 years while cumulative cash flow crossed zero in the fourth year</w:t>
            </w:r>
          </w:p>
        </w:tc>
        <w:tc>
          <w:tcPr>
            <w:tcW w:type="dxa" w:w="4320"/>
          </w:tcPr>
          <w:p>
            <w:r>
              <w:rPr>
                <w:sz w:val="17"/>
              </w:rPr>
            </w:r>
            <w:r>
              <w:rPr>
                <w:sz w:val="17"/>
              </w:rPr>
              <w:t>Computed programmatically: 2.73 years simple, 3.05 years discounted</w:t>
            </w:r>
          </w:p>
        </w:tc>
      </w:tr>
    </w:tbl>
    <w:p/>
    <w:p>
      <w:pPr>
        <w:pStyle w:val="Heading2"/>
      </w:pPr>
      <w:r>
        <w:t>Sheet 1. Assumptions</w:t>
      </w:r>
    </w:p>
    <w:p>
      <w:pPr>
        <w:pStyle w:val="Heading3"/>
      </w:pPr>
      <w:r>
        <w:t>1.1. Macroeconomic parameters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Parameter</w:t>
            </w:r>
          </w:p>
        </w:tc>
        <w:tc>
          <w:tcPr>
            <w:tcW w:type="dxa" w:w="2880"/>
          </w:tcPr>
          <w:p>
            <w:r>
              <w:rPr>
                <w:b/>
                <w:sz w:val="17"/>
              </w:rPr>
            </w:r>
            <w:r>
              <w:rPr>
                <w:b/>
                <w:sz w:val="17"/>
              </w:rPr>
              <w:t>Value</w:t>
            </w:r>
          </w:p>
        </w:tc>
        <w:tc>
          <w:tcPr>
            <w:tcW w:type="dxa" w:w="2880"/>
          </w:tcPr>
          <w:p>
            <w:r>
              <w:rPr>
                <w:b/>
                <w:sz w:val="17"/>
              </w:rPr>
            </w:r>
            <w:r>
              <w:rPr>
                <w:b/>
                <w:sz w:val="17"/>
              </w:rPr>
              <w:t>Source and date</w:t>
            </w:r>
          </w:p>
        </w:tc>
      </w:tr>
      <w:tr>
        <w:tc>
          <w:tcPr>
            <w:tcW w:type="dxa" w:w="2880"/>
          </w:tcPr>
          <w:p>
            <w:r>
              <w:rPr>
                <w:sz w:val="17"/>
              </w:rPr>
            </w:r>
            <w:r>
              <w:rPr>
                <w:sz w:val="17"/>
              </w:rPr>
              <w:t>Bank of Russia key rate</w:t>
            </w:r>
          </w:p>
        </w:tc>
        <w:tc>
          <w:tcPr>
            <w:tcW w:type="dxa" w:w="2880"/>
          </w:tcPr>
          <w:p>
            <w:r>
              <w:rPr>
                <w:sz w:val="17"/>
              </w:rPr>
            </w:r>
            <w:r>
              <w:rPr>
                <w:sz w:val="17"/>
              </w:rPr>
              <w:t>14.00%</w:t>
            </w:r>
          </w:p>
        </w:tc>
        <w:tc>
          <w:tcPr>
            <w:tcW w:type="dxa" w:w="2880"/>
          </w:tcPr>
          <w:p>
            <w:r>
              <w:rPr>
                <w:sz w:val="17"/>
              </w:rPr>
            </w:r>
            <w:r>
              <w:rPr>
                <w:sz w:val="17"/>
              </w:rPr>
              <w:t>Board of Directors decision of 07.09.2026</w:t>
            </w:r>
          </w:p>
        </w:tc>
      </w:tr>
      <w:tr>
        <w:tc>
          <w:tcPr>
            <w:tcW w:type="dxa" w:w="2880"/>
          </w:tcPr>
          <w:p>
            <w:r>
              <w:rPr>
                <w:sz w:val="17"/>
              </w:rPr>
            </w:r>
            <w:r>
              <w:rPr>
                <w:sz w:val="17"/>
              </w:rPr>
              <w:t>10-year OFZ yield</w:t>
            </w:r>
          </w:p>
        </w:tc>
        <w:tc>
          <w:tcPr>
            <w:tcW w:type="dxa" w:w="2880"/>
          </w:tcPr>
          <w:p>
            <w:r>
              <w:rPr>
                <w:sz w:val="17"/>
              </w:rPr>
            </w:r>
            <w:r>
              <w:rPr>
                <w:sz w:val="17"/>
              </w:rPr>
              <w:t>14.73%</w:t>
            </w:r>
          </w:p>
        </w:tc>
        <w:tc>
          <w:tcPr>
            <w:tcW w:type="dxa" w:w="2880"/>
          </w:tcPr>
          <w:p>
            <w:r>
              <w:rPr>
                <w:sz w:val="17"/>
              </w:rPr>
            </w:r>
            <w:r>
              <w:rPr>
                <w:sz w:val="17"/>
              </w:rPr>
              <w:t>market data as at 21.05.2026</w:t>
            </w:r>
          </w:p>
        </w:tc>
      </w:tr>
      <w:tr>
        <w:tc>
          <w:tcPr>
            <w:tcW w:type="dxa" w:w="2880"/>
          </w:tcPr>
          <w:p>
            <w:r>
              <w:rPr>
                <w:sz w:val="17"/>
              </w:rPr>
            </w:r>
            <w:r>
              <w:rPr>
                <w:sz w:val="17"/>
              </w:rPr>
              <w:t>Equity risk premium</w:t>
            </w:r>
          </w:p>
        </w:tc>
        <w:tc>
          <w:tcPr>
            <w:tcW w:type="dxa" w:w="2880"/>
          </w:tcPr>
          <w:p>
            <w:r>
              <w:rPr>
                <w:sz w:val="17"/>
              </w:rPr>
            </w:r>
            <w:r>
              <w:rPr>
                <w:sz w:val="17"/>
              </w:rPr>
              <w:t>8.13%</w:t>
            </w:r>
          </w:p>
        </w:tc>
        <w:tc>
          <w:tcPr>
            <w:tcW w:type="dxa" w:w="2880"/>
          </w:tcPr>
          <w:p>
            <w:r>
              <w:rPr>
                <w:sz w:val="17"/>
              </w:rPr>
            </w:r>
            <w:r>
              <w:rPr>
                <w:sz w:val="17"/>
              </w:rPr>
              <w:t>Damodaran</w:t>
            </w:r>
          </w:p>
        </w:tc>
      </w:tr>
      <w:tr>
        <w:tc>
          <w:tcPr>
            <w:tcW w:type="dxa" w:w="2880"/>
          </w:tcPr>
          <w:p>
            <w:r>
              <w:rPr>
                <w:sz w:val="17"/>
              </w:rPr>
            </w:r>
            <w:r>
              <w:rPr>
                <w:sz w:val="17"/>
              </w:rPr>
              <w:t>Beta (financial services)</w:t>
            </w:r>
          </w:p>
        </w:tc>
        <w:tc>
          <w:tcPr>
            <w:tcW w:type="dxa" w:w="2880"/>
          </w:tcPr>
          <w:p>
            <w:r>
              <w:rPr>
                <w:sz w:val="17"/>
              </w:rPr>
            </w:r>
            <w:r>
              <w:rPr>
                <w:sz w:val="17"/>
              </w:rPr>
              <w:t>1.15</w:t>
            </w:r>
          </w:p>
        </w:tc>
        <w:tc>
          <w:tcPr>
            <w:tcW w:type="dxa" w:w="2880"/>
          </w:tcPr>
          <w:p>
            <w:r>
              <w:rPr>
                <w:sz w:val="17"/>
              </w:rPr>
            </w:r>
            <w:r>
              <w:rPr>
                <w:sz w:val="17"/>
              </w:rPr>
              <w:t>Damodaran</w:t>
            </w:r>
          </w:p>
        </w:tc>
      </w:tr>
      <w:tr>
        <w:tc>
          <w:tcPr>
            <w:tcW w:type="dxa" w:w="2880"/>
          </w:tcPr>
          <w:p>
            <w:r>
              <w:rPr>
                <w:sz w:val="17"/>
              </w:rPr>
            </w:r>
            <w:r>
              <w:rPr>
                <w:sz w:val="17"/>
              </w:rPr>
              <w:t>Stage premium</w:t>
            </w:r>
          </w:p>
        </w:tc>
        <w:tc>
          <w:tcPr>
            <w:tcW w:type="dxa" w:w="2880"/>
          </w:tcPr>
          <w:p>
            <w:r>
              <w:rPr>
                <w:sz w:val="17"/>
              </w:rPr>
            </w:r>
            <w:r>
              <w:rPr>
                <w:sz w:val="17"/>
              </w:rPr>
              <w:t>2.50%</w:t>
            </w:r>
          </w:p>
        </w:tc>
        <w:tc>
          <w:tcPr>
            <w:tcW w:type="dxa" w:w="2880"/>
          </w:tcPr>
          <w:p>
            <w:r>
              <w:rPr>
                <w:sz w:val="17"/>
              </w:rPr>
            </w:r>
            <w:r>
              <w:rPr>
                <w:sz w:val="17"/>
              </w:rPr>
              <w:t>IPEV Guidelines</w:t>
            </w:r>
          </w:p>
        </w:tc>
      </w:tr>
      <w:tr>
        <w:tc>
          <w:tcPr>
            <w:tcW w:type="dxa" w:w="2880"/>
          </w:tcPr>
          <w:p>
            <w:r>
              <w:rPr>
                <w:sz w:val="17"/>
              </w:rPr>
            </w:r>
            <w:r>
              <w:rPr>
                <w:sz w:val="17"/>
              </w:rPr>
              <w:t>Illiquidity premium</w:t>
            </w:r>
          </w:p>
        </w:tc>
        <w:tc>
          <w:tcPr>
            <w:tcW w:type="dxa" w:w="2880"/>
          </w:tcPr>
          <w:p>
            <w:r>
              <w:rPr>
                <w:sz w:val="17"/>
              </w:rPr>
            </w:r>
            <w:r>
              <w:rPr>
                <w:sz w:val="17"/>
              </w:rPr>
              <w:t>3.00%</w:t>
            </w:r>
          </w:p>
        </w:tc>
        <w:tc>
          <w:tcPr>
            <w:tcW w:type="dxa" w:w="2880"/>
          </w:tcPr>
          <w:p>
            <w:r>
              <w:rPr>
                <w:sz w:val="17"/>
              </w:rPr>
            </w:r>
            <w:r>
              <w:rPr>
                <w:sz w:val="17"/>
              </w:rPr>
              <w:t>IPEV Guidelines</w:t>
            </w:r>
          </w:p>
        </w:tc>
      </w:tr>
      <w:tr>
        <w:tc>
          <w:tcPr>
            <w:tcW w:type="dxa" w:w="2880"/>
          </w:tcPr>
          <w:p>
            <w:r>
              <w:rPr>
                <w:sz w:val="17"/>
              </w:rPr>
            </w:r>
            <w:r>
              <w:rPr>
                <w:b/>
                <w:sz w:val="17"/>
              </w:rPr>
              <w:t>Discount rate (WACC)</w:t>
            </w:r>
          </w:p>
        </w:tc>
        <w:tc>
          <w:tcPr>
            <w:tcW w:type="dxa" w:w="2880"/>
          </w:tcPr>
          <w:p>
            <w:r>
              <w:rPr>
                <w:sz w:val="17"/>
              </w:rPr>
            </w:r>
            <w:r>
              <w:rPr>
                <w:b/>
                <w:sz w:val="17"/>
              </w:rPr>
              <w:t>29.58%</w:t>
            </w:r>
          </w:p>
        </w:tc>
        <w:tc>
          <w:tcPr>
            <w:tcW w:type="dxa" w:w="2880"/>
          </w:tcPr>
          <w:p>
            <w:r>
              <w:rPr>
                <w:sz w:val="17"/>
              </w:rPr>
            </w:r>
            <w:r>
              <w:rPr>
                <w:sz w:val="17"/>
              </w:rPr>
              <w:t>sum of components</w:t>
            </w:r>
          </w:p>
        </w:tc>
      </w:tr>
      <w:tr>
        <w:tc>
          <w:tcPr>
            <w:tcW w:type="dxa" w:w="2880"/>
          </w:tcPr>
          <w:p>
            <w:r>
              <w:rPr>
                <w:sz w:val="17"/>
              </w:rPr>
            </w:r>
            <w:r>
              <w:rPr>
                <w:sz w:val="17"/>
              </w:rPr>
              <w:t>Inflation target</w:t>
            </w:r>
          </w:p>
        </w:tc>
        <w:tc>
          <w:tcPr>
            <w:tcW w:type="dxa" w:w="2880"/>
          </w:tcPr>
          <w:p>
            <w:r>
              <w:rPr>
                <w:sz w:val="17"/>
              </w:rPr>
            </w:r>
            <w:r>
              <w:rPr>
                <w:sz w:val="17"/>
              </w:rPr>
              <w:t>4%</w:t>
            </w:r>
          </w:p>
        </w:tc>
        <w:tc>
          <w:tcPr>
            <w:tcW w:type="dxa" w:w="2880"/>
          </w:tcPr>
          <w:p>
            <w:r>
              <w:rPr>
                <w:sz w:val="17"/>
              </w:rPr>
            </w:r>
            <w:r>
              <w:rPr>
                <w:sz w:val="17"/>
              </w:rPr>
              <w:t>Bank of Russia benchmark</w:t>
            </w:r>
          </w:p>
        </w:tc>
      </w:tr>
      <w:tr>
        <w:tc>
          <w:tcPr>
            <w:tcW w:type="dxa" w:w="2880"/>
          </w:tcPr>
          <w:p>
            <w:r>
              <w:rPr>
                <w:sz w:val="17"/>
              </w:rPr>
            </w:r>
            <w:r>
              <w:rPr>
                <w:sz w:val="17"/>
              </w:rPr>
              <w:t>USD/RUB rate</w:t>
            </w:r>
          </w:p>
        </w:tc>
        <w:tc>
          <w:tcPr>
            <w:tcW w:type="dxa" w:w="2880"/>
          </w:tcPr>
          <w:p>
            <w:r>
              <w:rPr>
                <w:sz w:val="17"/>
              </w:rPr>
            </w:r>
            <w:r>
              <w:rPr>
                <w:sz w:val="17"/>
              </w:rPr>
              <w:t>71.55</w:t>
            </w:r>
          </w:p>
        </w:tc>
        <w:tc>
          <w:tcPr>
            <w:tcW w:type="dxa" w:w="2880"/>
          </w:tcPr>
          <w:p>
            <w:r>
              <w:rPr>
                <w:sz w:val="17"/>
              </w:rPr>
            </w:r>
            <w:r>
              <w:rPr>
                <w:sz w:val="17"/>
              </w:rPr>
              <w:t>official rate as at 26.05.2026</w:t>
            </w:r>
          </w:p>
        </w:tc>
      </w:tr>
    </w:tbl>
    <w:p/>
    <w:p>
      <w:pPr>
        <w:ind w:left="360"/>
      </w:pPr>
      <w:r>
        <w:rPr>
          <w:i/>
          <w:color w:val="444444"/>
        </w:rPr>
        <w:t>The key rate was updated as at 07.09.2026. The 10-year OFZ yield and the exchange rate are fixed as at May 2026 and should be refreshed at the date of negotiations before approaching an external investor. The key rate does not affect the discount rate: the latter is built on the OFZ yield, while the key rate serves only as a cross-check.</w:t>
      </w:r>
    </w:p>
    <w:p>
      <w:pPr>
        <w:pStyle w:val="Heading3"/>
      </w:pPr>
      <w:r>
        <w:t>1.2. Market</w:t>
      </w:r>
    </w:p>
    <w:p>
      <w:pPr>
        <w:jc w:val="both"/>
      </w:pPr>
      <w:r>
        <w:t xml:space="preserve">Collateral capacity of the market as at 2025 — </w:t>
      </w:r>
      <w:r>
        <w:rPr>
          <w:b/>
        </w:rPr>
        <w:t>RUB 25,000 bn</w:t>
      </w:r>
      <w:r>
        <w:t>: 10% of assets drawn into circulation, valued for collateral purposes at 50% of market value, out of the combined stock of housing, commercial real estate and land plots (RUB 507 tn). Indexation — 4% per year.</w:t>
      </w:r>
    </w:p>
    <w:p>
      <w:pPr>
        <w:jc w:val="both"/>
      </w:pPr>
      <w:r>
        <w:t>The circulating stack is the sum of issues over the last 5 years (the average life of an issue).</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Parameter</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Collateral capacity, RUB bn</w:t>
            </w:r>
          </w:p>
        </w:tc>
        <w:tc>
          <w:tcPr>
            <w:tcW w:type="dxa" w:w="785"/>
          </w:tcPr>
          <w:p>
            <w:r>
              <w:rPr>
                <w:sz w:val="17"/>
              </w:rPr>
            </w:r>
            <w:r>
              <w:rPr>
                <w:sz w:val="17"/>
              </w:rPr>
              <w:t>27,040</w:t>
            </w:r>
          </w:p>
        </w:tc>
        <w:tc>
          <w:tcPr>
            <w:tcW w:type="dxa" w:w="785"/>
          </w:tcPr>
          <w:p>
            <w:r>
              <w:rPr>
                <w:sz w:val="17"/>
              </w:rPr>
            </w:r>
            <w:r>
              <w:rPr>
                <w:sz w:val="17"/>
              </w:rPr>
              <w:t>28,122</w:t>
            </w:r>
          </w:p>
        </w:tc>
        <w:tc>
          <w:tcPr>
            <w:tcW w:type="dxa" w:w="785"/>
          </w:tcPr>
          <w:p>
            <w:r>
              <w:rPr>
                <w:sz w:val="17"/>
              </w:rPr>
            </w:r>
            <w:r>
              <w:rPr>
                <w:sz w:val="17"/>
              </w:rPr>
              <w:t>29,246</w:t>
            </w:r>
          </w:p>
        </w:tc>
        <w:tc>
          <w:tcPr>
            <w:tcW w:type="dxa" w:w="785"/>
          </w:tcPr>
          <w:p>
            <w:r>
              <w:rPr>
                <w:sz w:val="17"/>
              </w:rPr>
            </w:r>
            <w:r>
              <w:rPr>
                <w:sz w:val="17"/>
              </w:rPr>
              <w:t>30,416</w:t>
            </w:r>
          </w:p>
        </w:tc>
        <w:tc>
          <w:tcPr>
            <w:tcW w:type="dxa" w:w="785"/>
          </w:tcPr>
          <w:p>
            <w:r>
              <w:rPr>
                <w:sz w:val="17"/>
              </w:rPr>
            </w:r>
            <w:r>
              <w:rPr>
                <w:sz w:val="17"/>
              </w:rPr>
              <w:t>31,633</w:t>
            </w:r>
          </w:p>
        </w:tc>
        <w:tc>
          <w:tcPr>
            <w:tcW w:type="dxa" w:w="785"/>
          </w:tcPr>
          <w:p>
            <w:r>
              <w:rPr>
                <w:sz w:val="17"/>
              </w:rPr>
            </w:r>
            <w:r>
              <w:rPr>
                <w:sz w:val="17"/>
              </w:rPr>
              <w:t>32,898</w:t>
            </w:r>
          </w:p>
        </w:tc>
        <w:tc>
          <w:tcPr>
            <w:tcW w:type="dxa" w:w="785"/>
          </w:tcPr>
          <w:p>
            <w:r>
              <w:rPr>
                <w:sz w:val="17"/>
              </w:rPr>
            </w:r>
            <w:r>
              <w:rPr>
                <w:sz w:val="17"/>
              </w:rPr>
              <w:t>34,214</w:t>
            </w:r>
          </w:p>
        </w:tc>
        <w:tc>
          <w:tcPr>
            <w:tcW w:type="dxa" w:w="785"/>
          </w:tcPr>
          <w:p>
            <w:r>
              <w:rPr>
                <w:sz w:val="17"/>
              </w:rPr>
            </w:r>
            <w:r>
              <w:rPr>
                <w:sz w:val="17"/>
              </w:rPr>
              <w:t>35,583</w:t>
            </w:r>
          </w:p>
        </w:tc>
        <w:tc>
          <w:tcPr>
            <w:tcW w:type="dxa" w:w="785"/>
          </w:tcPr>
          <w:p>
            <w:r>
              <w:rPr>
                <w:sz w:val="17"/>
              </w:rPr>
            </w:r>
            <w:r>
              <w:rPr>
                <w:sz w:val="17"/>
              </w:rPr>
              <w:t>37,006</w:t>
            </w:r>
          </w:p>
        </w:tc>
        <w:tc>
          <w:tcPr>
            <w:tcW w:type="dxa" w:w="785"/>
          </w:tcPr>
          <w:p>
            <w:r>
              <w:rPr>
                <w:sz w:val="17"/>
              </w:rPr>
            </w:r>
            <w:r>
              <w:rPr>
                <w:sz w:val="17"/>
              </w:rPr>
              <w:t>38,486</w:t>
            </w:r>
          </w:p>
        </w:tc>
      </w:tr>
      <w:tr>
        <w:tc>
          <w:tcPr>
            <w:tcW w:type="dxa" w:w="785"/>
          </w:tcPr>
          <w:p>
            <w:r>
              <w:rPr>
                <w:sz w:val="17"/>
              </w:rPr>
            </w:r>
            <w:r>
              <w:rPr>
                <w:sz w:val="17"/>
              </w:rPr>
              <w:t>Platform share, %</w:t>
            </w:r>
          </w:p>
        </w:tc>
        <w:tc>
          <w:tcPr>
            <w:tcW w:type="dxa" w:w="785"/>
          </w:tcPr>
          <w:p>
            <w:r>
              <w:rPr>
                <w:sz w:val="17"/>
              </w:rPr>
            </w:r>
            <w:r>
              <w:rPr>
                <w:sz w:val="17"/>
              </w:rPr>
              <w:t>0.00</w:t>
            </w:r>
          </w:p>
        </w:tc>
        <w:tc>
          <w:tcPr>
            <w:tcW w:type="dxa" w:w="785"/>
          </w:tcPr>
          <w:p>
            <w:r>
              <w:rPr>
                <w:sz w:val="17"/>
              </w:rPr>
            </w:r>
            <w:r>
              <w:rPr>
                <w:sz w:val="17"/>
              </w:rPr>
              <w:t>0.40</w:t>
            </w:r>
          </w:p>
        </w:tc>
        <w:tc>
          <w:tcPr>
            <w:tcW w:type="dxa" w:w="785"/>
          </w:tcPr>
          <w:p>
            <w:r>
              <w:rPr>
                <w:sz w:val="17"/>
              </w:rPr>
            </w:r>
            <w:r>
              <w:rPr>
                <w:sz w:val="17"/>
              </w:rPr>
              <w:t>1.80</w:t>
            </w:r>
          </w:p>
        </w:tc>
        <w:tc>
          <w:tcPr>
            <w:tcW w:type="dxa" w:w="785"/>
          </w:tcPr>
          <w:p>
            <w:r>
              <w:rPr>
                <w:sz w:val="17"/>
              </w:rPr>
            </w:r>
            <w:r>
              <w:rPr>
                <w:sz w:val="17"/>
              </w:rPr>
              <w:t>4.40</w:t>
            </w:r>
          </w:p>
        </w:tc>
        <w:tc>
          <w:tcPr>
            <w:tcW w:type="dxa" w:w="785"/>
          </w:tcPr>
          <w:p>
            <w:r>
              <w:rPr>
                <w:sz w:val="17"/>
              </w:rPr>
            </w:r>
            <w:r>
              <w:rPr>
                <w:sz w:val="17"/>
              </w:rPr>
              <w:t>8.80</w:t>
            </w:r>
          </w:p>
        </w:tc>
        <w:tc>
          <w:tcPr>
            <w:tcW w:type="dxa" w:w="785"/>
          </w:tcPr>
          <w:p>
            <w:r>
              <w:rPr>
                <w:sz w:val="17"/>
              </w:rPr>
            </w:r>
            <w:r>
              <w:rPr>
                <w:sz w:val="17"/>
              </w:rPr>
              <w:t>10.80</w:t>
            </w:r>
          </w:p>
        </w:tc>
        <w:tc>
          <w:tcPr>
            <w:tcW w:type="dxa" w:w="785"/>
          </w:tcPr>
          <w:p>
            <w:r>
              <w:rPr>
                <w:sz w:val="17"/>
              </w:rPr>
            </w:r>
            <w:r>
              <w:rPr>
                <w:sz w:val="17"/>
              </w:rPr>
              <w:t>12.60</w:t>
            </w:r>
          </w:p>
        </w:tc>
        <w:tc>
          <w:tcPr>
            <w:tcW w:type="dxa" w:w="785"/>
          </w:tcPr>
          <w:p>
            <w:r>
              <w:rPr>
                <w:sz w:val="17"/>
              </w:rPr>
            </w:r>
            <w:r>
              <w:rPr>
                <w:sz w:val="17"/>
              </w:rPr>
              <w:t>14.40</w:t>
            </w:r>
          </w:p>
        </w:tc>
        <w:tc>
          <w:tcPr>
            <w:tcW w:type="dxa" w:w="785"/>
          </w:tcPr>
          <w:p>
            <w:r>
              <w:rPr>
                <w:sz w:val="17"/>
              </w:rPr>
            </w:r>
            <w:r>
              <w:rPr>
                <w:sz w:val="17"/>
              </w:rPr>
              <w:t>16.20</w:t>
            </w:r>
          </w:p>
        </w:tc>
        <w:tc>
          <w:tcPr>
            <w:tcW w:type="dxa" w:w="785"/>
          </w:tcPr>
          <w:p>
            <w:r>
              <w:rPr>
                <w:sz w:val="17"/>
              </w:rPr>
            </w:r>
            <w:r>
              <w:rPr>
                <w:sz w:val="17"/>
              </w:rPr>
              <w:t>18.00</w:t>
            </w:r>
          </w:p>
        </w:tc>
      </w:tr>
      <w:tr>
        <w:tc>
          <w:tcPr>
            <w:tcW w:type="dxa" w:w="785"/>
          </w:tcPr>
          <w:p>
            <w:r>
              <w:rPr>
                <w:sz w:val="17"/>
              </w:rPr>
            </w:r>
            <w:r>
              <w:rPr>
                <w:sz w:val="17"/>
              </w:rPr>
              <w:t>CFA issuance, RUB mn</w:t>
            </w:r>
          </w:p>
        </w:tc>
        <w:tc>
          <w:tcPr>
            <w:tcW w:type="dxa" w:w="785"/>
          </w:tcPr>
          <w:p>
            <w:r>
              <w:rPr>
                <w:sz w:val="17"/>
              </w:rPr>
            </w:r>
            <w:r>
              <w:rPr>
                <w:sz w:val="17"/>
              </w:rPr>
              <w:t>0</w:t>
            </w:r>
          </w:p>
        </w:tc>
        <w:tc>
          <w:tcPr>
            <w:tcW w:type="dxa" w:w="785"/>
          </w:tcPr>
          <w:p>
            <w:r>
              <w:rPr>
                <w:sz w:val="17"/>
              </w:rPr>
            </w:r>
            <w:r>
              <w:rPr>
                <w:sz w:val="17"/>
              </w:rPr>
              <w:t>112,486</w:t>
            </w:r>
          </w:p>
        </w:tc>
        <w:tc>
          <w:tcPr>
            <w:tcW w:type="dxa" w:w="785"/>
          </w:tcPr>
          <w:p>
            <w:r>
              <w:rPr>
                <w:sz w:val="17"/>
              </w:rPr>
            </w:r>
            <w:r>
              <w:rPr>
                <w:sz w:val="17"/>
              </w:rPr>
              <w:t>526,436</w:t>
            </w:r>
          </w:p>
        </w:tc>
        <w:tc>
          <w:tcPr>
            <w:tcW w:type="dxa" w:w="785"/>
          </w:tcPr>
          <w:p>
            <w:r>
              <w:rPr>
                <w:sz w:val="17"/>
              </w:rPr>
            </w:r>
            <w:r>
              <w:rPr>
                <w:sz w:val="17"/>
              </w:rPr>
              <w:t>1,338,318</w:t>
            </w:r>
          </w:p>
        </w:tc>
        <w:tc>
          <w:tcPr>
            <w:tcW w:type="dxa" w:w="785"/>
          </w:tcPr>
          <w:p>
            <w:r>
              <w:rPr>
                <w:sz w:val="17"/>
              </w:rPr>
            </w:r>
            <w:r>
              <w:rPr>
                <w:sz w:val="17"/>
              </w:rPr>
              <w:t>2,783,702</w:t>
            </w:r>
          </w:p>
        </w:tc>
        <w:tc>
          <w:tcPr>
            <w:tcW w:type="dxa" w:w="785"/>
          </w:tcPr>
          <w:p>
            <w:r>
              <w:rPr>
                <w:sz w:val="17"/>
              </w:rPr>
            </w:r>
            <w:r>
              <w:rPr>
                <w:sz w:val="17"/>
              </w:rPr>
              <w:t>3,553,016</w:t>
            </w:r>
          </w:p>
        </w:tc>
        <w:tc>
          <w:tcPr>
            <w:tcW w:type="dxa" w:w="785"/>
          </w:tcPr>
          <w:p>
            <w:r>
              <w:rPr>
                <w:sz w:val="17"/>
              </w:rPr>
            </w:r>
            <w:r>
              <w:rPr>
                <w:sz w:val="17"/>
              </w:rPr>
              <w:t>4,310,993</w:t>
            </w:r>
          </w:p>
        </w:tc>
        <w:tc>
          <w:tcPr>
            <w:tcW w:type="dxa" w:w="785"/>
          </w:tcPr>
          <w:p>
            <w:r>
              <w:rPr>
                <w:sz w:val="17"/>
              </w:rPr>
            </w:r>
            <w:r>
              <w:rPr>
                <w:sz w:val="17"/>
              </w:rPr>
              <w:t>5,123,923</w:t>
            </w:r>
          </w:p>
        </w:tc>
        <w:tc>
          <w:tcPr>
            <w:tcW w:type="dxa" w:w="785"/>
          </w:tcPr>
          <w:p>
            <w:r>
              <w:rPr>
                <w:sz w:val="17"/>
              </w:rPr>
            </w:r>
            <w:r>
              <w:rPr>
                <w:sz w:val="17"/>
              </w:rPr>
              <w:t>5,994,989</w:t>
            </w:r>
          </w:p>
        </w:tc>
        <w:tc>
          <w:tcPr>
            <w:tcW w:type="dxa" w:w="785"/>
          </w:tcPr>
          <w:p>
            <w:r>
              <w:rPr>
                <w:sz w:val="17"/>
              </w:rPr>
            </w:r>
            <w:r>
              <w:rPr>
                <w:sz w:val="17"/>
              </w:rPr>
              <w:t>6,927,543</w:t>
            </w:r>
          </w:p>
        </w:tc>
      </w:tr>
      <w:tr>
        <w:tc>
          <w:tcPr>
            <w:tcW w:type="dxa" w:w="785"/>
          </w:tcPr>
          <w:p>
            <w:r>
              <w:rPr>
                <w:sz w:val="17"/>
              </w:rPr>
            </w:r>
            <w:r>
              <w:rPr>
                <w:sz w:val="17"/>
              </w:rPr>
              <w:t>Circulating stack, RUB mn</w:t>
            </w:r>
          </w:p>
        </w:tc>
        <w:tc>
          <w:tcPr>
            <w:tcW w:type="dxa" w:w="785"/>
          </w:tcPr>
          <w:p>
            <w:r>
              <w:rPr>
                <w:sz w:val="17"/>
              </w:rPr>
            </w:r>
            <w:r>
              <w:rPr>
                <w:sz w:val="17"/>
              </w:rPr>
              <w:t>0</w:t>
            </w:r>
          </w:p>
        </w:tc>
        <w:tc>
          <w:tcPr>
            <w:tcW w:type="dxa" w:w="785"/>
          </w:tcPr>
          <w:p>
            <w:r>
              <w:rPr>
                <w:sz w:val="17"/>
              </w:rPr>
            </w:r>
            <w:r>
              <w:rPr>
                <w:sz w:val="17"/>
              </w:rPr>
              <w:t>112,486</w:t>
            </w:r>
          </w:p>
        </w:tc>
        <w:tc>
          <w:tcPr>
            <w:tcW w:type="dxa" w:w="785"/>
          </w:tcPr>
          <w:p>
            <w:r>
              <w:rPr>
                <w:sz w:val="17"/>
              </w:rPr>
            </w:r>
            <w:r>
              <w:rPr>
                <w:sz w:val="17"/>
              </w:rPr>
              <w:t>638,923</w:t>
            </w:r>
          </w:p>
        </w:tc>
        <w:tc>
          <w:tcPr>
            <w:tcW w:type="dxa" w:w="785"/>
          </w:tcPr>
          <w:p>
            <w:r>
              <w:rPr>
                <w:sz w:val="17"/>
              </w:rPr>
            </w:r>
            <w:r>
              <w:rPr>
                <w:sz w:val="17"/>
              </w:rPr>
              <w:t>1,977,241</w:t>
            </w:r>
          </w:p>
        </w:tc>
        <w:tc>
          <w:tcPr>
            <w:tcW w:type="dxa" w:w="785"/>
          </w:tcPr>
          <w:p>
            <w:r>
              <w:rPr>
                <w:sz w:val="17"/>
              </w:rPr>
            </w:r>
            <w:r>
              <w:rPr>
                <w:sz w:val="17"/>
              </w:rPr>
              <w:t>4,760,943</w:t>
            </w:r>
          </w:p>
        </w:tc>
        <w:tc>
          <w:tcPr>
            <w:tcW w:type="dxa" w:w="785"/>
          </w:tcPr>
          <w:p>
            <w:r>
              <w:rPr>
                <w:sz w:val="17"/>
              </w:rPr>
            </w:r>
            <w:r>
              <w:rPr>
                <w:sz w:val="17"/>
              </w:rPr>
              <w:t>8,313,959</w:t>
            </w:r>
          </w:p>
        </w:tc>
        <w:tc>
          <w:tcPr>
            <w:tcW w:type="dxa" w:w="785"/>
          </w:tcPr>
          <w:p>
            <w:r>
              <w:rPr>
                <w:sz w:val="17"/>
              </w:rPr>
            </w:r>
            <w:r>
              <w:rPr>
                <w:sz w:val="17"/>
              </w:rPr>
              <w:t>12,512,465</w:t>
            </w:r>
          </w:p>
        </w:tc>
        <w:tc>
          <w:tcPr>
            <w:tcW w:type="dxa" w:w="785"/>
          </w:tcPr>
          <w:p>
            <w:r>
              <w:rPr>
                <w:sz w:val="17"/>
              </w:rPr>
            </w:r>
            <w:r>
              <w:rPr>
                <w:sz w:val="17"/>
              </w:rPr>
              <w:t>17,109,951</w:t>
            </w:r>
          </w:p>
        </w:tc>
        <w:tc>
          <w:tcPr>
            <w:tcW w:type="dxa" w:w="785"/>
          </w:tcPr>
          <w:p>
            <w:r>
              <w:rPr>
                <w:sz w:val="17"/>
              </w:rPr>
            </w:r>
            <w:r>
              <w:rPr>
                <w:sz w:val="17"/>
              </w:rPr>
              <w:t>21,766,622</w:t>
            </w:r>
          </w:p>
        </w:tc>
        <w:tc>
          <w:tcPr>
            <w:tcW w:type="dxa" w:w="785"/>
          </w:tcPr>
          <w:p>
            <w:r>
              <w:rPr>
                <w:sz w:val="17"/>
              </w:rPr>
            </w:r>
            <w:r>
              <w:rPr>
                <w:sz w:val="17"/>
              </w:rPr>
              <w:t>25,910,463</w:t>
            </w:r>
          </w:p>
        </w:tc>
      </w:tr>
    </w:tbl>
    <w:p/>
    <w:p>
      <w:pPr>
        <w:ind w:left="360"/>
      </w:pPr>
      <w:r>
        <w:rPr>
          <w:i/>
          <w:color w:val="444444"/>
        </w:rPr>
        <w:t>The market-share trajectory is the author's key assumption and the main source of uncertainty in the model. It is not corroborated externally: not by a pilot, not by contracts, not by an analogue. Everything else in the model is arithmetic derived from that line.</w:t>
      </w:r>
    </w:p>
    <w:p>
      <w:pPr>
        <w:pStyle w:val="Heading3"/>
      </w:pPr>
      <w:r>
        <w:t>1.3. Tariffs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Line</w:t>
            </w:r>
          </w:p>
        </w:tc>
        <w:tc>
          <w:tcPr>
            <w:tcW w:type="dxa" w:w="2880"/>
          </w:tcPr>
          <w:p>
            <w:r>
              <w:rPr>
                <w:b/>
                <w:sz w:val="17"/>
              </w:rPr>
            </w:r>
            <w:r>
              <w:rPr>
                <w:b/>
                <w:sz w:val="17"/>
              </w:rPr>
              <w:t>Rate</w:t>
            </w:r>
          </w:p>
        </w:tc>
        <w:tc>
          <w:tcPr>
            <w:tcW w:type="dxa" w:w="2880"/>
          </w:tcPr>
          <w:p>
            <w:r>
              <w:rPr>
                <w:b/>
                <w:sz w:val="17"/>
              </w:rPr>
            </w:r>
            <w:r>
              <w:rPr>
                <w:b/>
                <w:sz w:val="17"/>
              </w:rPr>
              <w:t>Base</w:t>
            </w:r>
          </w:p>
        </w:tc>
      </w:tr>
      <w:tr>
        <w:tc>
          <w:tcPr>
            <w:tcW w:type="dxa" w:w="2880"/>
          </w:tcPr>
          <w:p>
            <w:r>
              <w:rPr>
                <w:sz w:val="17"/>
              </w:rPr>
            </w:r>
            <w:r>
              <w:rPr>
                <w:sz w:val="17"/>
              </w:rPr>
              <w:t>Issuance fee</w:t>
            </w:r>
          </w:p>
        </w:tc>
        <w:tc>
          <w:tcPr>
            <w:tcW w:type="dxa" w:w="2880"/>
          </w:tcPr>
          <w:p>
            <w:r>
              <w:rPr>
                <w:sz w:val="17"/>
              </w:rPr>
            </w:r>
            <w:r>
              <w:rPr>
                <w:sz w:val="17"/>
              </w:rPr>
              <w:t>0.50%</w:t>
            </w:r>
          </w:p>
        </w:tc>
        <w:tc>
          <w:tcPr>
            <w:tcW w:type="dxa" w:w="2880"/>
          </w:tcPr>
          <w:p>
            <w:r>
              <w:rPr>
                <w:sz w:val="17"/>
              </w:rPr>
            </w:r>
            <w:r>
              <w:rPr>
                <w:sz w:val="17"/>
              </w:rPr>
              <w:t>annual issuance volume</w:t>
            </w:r>
          </w:p>
        </w:tc>
      </w:tr>
      <w:tr>
        <w:tc>
          <w:tcPr>
            <w:tcW w:type="dxa" w:w="2880"/>
          </w:tcPr>
          <w:p>
            <w:r>
              <w:rPr>
                <w:sz w:val="17"/>
              </w:rPr>
            </w:r>
            <w:r>
              <w:rPr>
                <w:sz w:val="17"/>
              </w:rPr>
              <w:t>Servicing fee</w:t>
            </w:r>
          </w:p>
        </w:tc>
        <w:tc>
          <w:tcPr>
            <w:tcW w:type="dxa" w:w="2880"/>
          </w:tcPr>
          <w:p>
            <w:r>
              <w:rPr>
                <w:sz w:val="17"/>
              </w:rPr>
            </w:r>
            <w:r>
              <w:rPr>
                <w:sz w:val="17"/>
              </w:rPr>
              <w:t>0.30%</w:t>
            </w:r>
          </w:p>
        </w:tc>
        <w:tc>
          <w:tcPr>
            <w:tcW w:type="dxa" w:w="2880"/>
          </w:tcPr>
          <w:p>
            <w:r>
              <w:rPr>
                <w:sz w:val="17"/>
              </w:rPr>
            </w:r>
            <w:r>
              <w:rPr>
                <w:sz w:val="17"/>
              </w:rPr>
              <w:t>circulating stack</w:t>
            </w:r>
          </w:p>
        </w:tc>
      </w:tr>
      <w:tr>
        <w:tc>
          <w:tcPr>
            <w:tcW w:type="dxa" w:w="2880"/>
          </w:tcPr>
          <w:p>
            <w:r>
              <w:rPr>
                <w:sz w:val="17"/>
              </w:rPr>
            </w:r>
            <w:r>
              <w:rPr>
                <w:sz w:val="17"/>
              </w:rPr>
              <w:t>Platform fee</w:t>
            </w:r>
          </w:p>
        </w:tc>
        <w:tc>
          <w:tcPr>
            <w:tcW w:type="dxa" w:w="2880"/>
          </w:tcPr>
          <w:p>
            <w:r>
              <w:rPr>
                <w:sz w:val="17"/>
              </w:rPr>
            </w:r>
            <w:r>
              <w:rPr>
                <w:sz w:val="17"/>
              </w:rPr>
              <w:t>0.15%</w:t>
            </w:r>
          </w:p>
        </w:tc>
        <w:tc>
          <w:tcPr>
            <w:tcW w:type="dxa" w:w="2880"/>
          </w:tcPr>
          <w:p>
            <w:r>
              <w:rPr>
                <w:sz w:val="17"/>
              </w:rPr>
            </w:r>
            <w:r>
              <w:rPr>
                <w:sz w:val="17"/>
              </w:rPr>
              <w:t>issuance volume</w:t>
            </w:r>
          </w:p>
        </w:tc>
      </w:tr>
      <w:tr>
        <w:tc>
          <w:tcPr>
            <w:tcW w:type="dxa" w:w="2880"/>
          </w:tcPr>
          <w:p>
            <w:r>
              <w:rPr>
                <w:sz w:val="17"/>
              </w:rPr>
            </w:r>
            <w:r>
              <w:rPr>
                <w:sz w:val="17"/>
              </w:rPr>
              <w:t>B2B2G licences</w:t>
            </w:r>
          </w:p>
        </w:tc>
        <w:tc>
          <w:tcPr>
            <w:tcW w:type="dxa" w:w="2880"/>
          </w:tcPr>
          <w:p>
            <w:r>
              <w:rPr>
                <w:sz w:val="17"/>
              </w:rPr>
            </w:r>
            <w:r>
              <w:rPr>
                <w:sz w:val="17"/>
              </w:rPr>
              <w:t>from 0 to 0.15%</w:t>
            </w:r>
          </w:p>
        </w:tc>
        <w:tc>
          <w:tcPr>
            <w:tcW w:type="dxa" w:w="2880"/>
          </w:tcPr>
          <w:p>
            <w:r>
              <w:rPr>
                <w:sz w:val="17"/>
              </w:rPr>
            </w:r>
            <w:r>
              <w:rPr>
                <w:sz w:val="17"/>
              </w:rPr>
              <w:t>issuance volume</w:t>
            </w:r>
          </w:p>
        </w:tc>
      </w:tr>
      <w:tr>
        <w:tc>
          <w:tcPr>
            <w:tcW w:type="dxa" w:w="2880"/>
          </w:tcPr>
          <w:p>
            <w:r>
              <w:rPr>
                <w:sz w:val="17"/>
              </w:rPr>
            </w:r>
            <w:r>
              <w:rPr>
                <w:sz w:val="17"/>
              </w:rPr>
              <w:t>Technology integrations</w:t>
            </w:r>
          </w:p>
        </w:tc>
        <w:tc>
          <w:tcPr>
            <w:tcW w:type="dxa" w:w="2880"/>
          </w:tcPr>
          <w:p>
            <w:r>
              <w:rPr>
                <w:sz w:val="17"/>
              </w:rPr>
            </w:r>
            <w:r>
              <w:rPr>
                <w:sz w:val="17"/>
              </w:rPr>
              <w:t>from 50 to 1,150 RUB mn</w:t>
            </w:r>
          </w:p>
        </w:tc>
        <w:tc>
          <w:tcPr>
            <w:tcW w:type="dxa" w:w="2880"/>
          </w:tcPr>
          <w:p>
            <w:r>
              <w:rPr>
                <w:sz w:val="17"/>
              </w:rPr>
            </w:r>
            <w:r>
              <w:rPr>
                <w:sz w:val="17"/>
              </w:rPr>
              <w:t>fixed connection payments</w:t>
            </w:r>
          </w:p>
        </w:tc>
      </w:tr>
      <w:tr>
        <w:tc>
          <w:tcPr>
            <w:tcW w:type="dxa" w:w="2880"/>
          </w:tcPr>
          <w:p>
            <w:r>
              <w:rPr>
                <w:sz w:val="17"/>
              </w:rPr>
            </w:r>
            <w:r>
              <w:rPr>
                <w:sz w:val="17"/>
              </w:rPr>
              <w:t>Appraisal and insurance — gross tariff</w:t>
            </w:r>
          </w:p>
        </w:tc>
        <w:tc>
          <w:tcPr>
            <w:tcW w:type="dxa" w:w="2880"/>
          </w:tcPr>
          <w:p>
            <w:r>
              <w:rPr>
                <w:sz w:val="17"/>
              </w:rPr>
            </w:r>
            <w:r>
              <w:rPr>
                <w:sz w:val="17"/>
              </w:rPr>
              <w:t>0.80%</w:t>
            </w:r>
          </w:p>
        </w:tc>
        <w:tc>
          <w:tcPr>
            <w:tcW w:type="dxa" w:w="2880"/>
          </w:tcPr>
          <w:p>
            <w:r>
              <w:rPr>
                <w:sz w:val="17"/>
              </w:rPr>
            </w:r>
            <w:r>
              <w:rPr>
                <w:sz w:val="17"/>
              </w:rPr>
              <w:t>issuance volume</w:t>
            </w:r>
          </w:p>
        </w:tc>
      </w:tr>
      <w:tr>
        <w:tc>
          <w:tcPr>
            <w:tcW w:type="dxa" w:w="2880"/>
          </w:tcPr>
          <w:p>
            <w:r>
              <w:rPr>
                <w:sz w:val="17"/>
              </w:rPr>
            </w:r>
            <w:r>
              <w:rPr>
                <w:sz w:val="17"/>
              </w:rPr>
              <w:t>Appraisal and insurance — offsetting costs</w:t>
            </w:r>
          </w:p>
        </w:tc>
        <w:tc>
          <w:tcPr>
            <w:tcW w:type="dxa" w:w="2880"/>
          </w:tcPr>
          <w:p>
            <w:r>
              <w:rPr>
                <w:sz w:val="17"/>
              </w:rPr>
            </w:r>
            <w:r>
              <w:rPr>
                <w:sz w:val="17"/>
              </w:rPr>
              <w:t>85%</w:t>
            </w:r>
          </w:p>
        </w:tc>
        <w:tc>
          <w:tcPr>
            <w:tcW w:type="dxa" w:w="2880"/>
          </w:tcPr>
          <w:p>
            <w:r>
              <w:rPr>
                <w:sz w:val="17"/>
              </w:rPr>
            </w:r>
            <w:r>
              <w:rPr>
                <w:sz w:val="17"/>
              </w:rPr>
              <w:t>of the gross tariff</w:t>
            </w:r>
          </w:p>
        </w:tc>
      </w:tr>
      <w:tr>
        <w:tc>
          <w:tcPr>
            <w:tcW w:type="dxa" w:w="2880"/>
          </w:tcPr>
          <w:p>
            <w:r>
              <w:rPr>
                <w:sz w:val="17"/>
              </w:rPr>
            </w:r>
            <w:r>
              <w:rPr>
                <w:b/>
                <w:sz w:val="17"/>
              </w:rPr>
              <w:t>Appraisal and insurance — own margin</w:t>
            </w:r>
          </w:p>
        </w:tc>
        <w:tc>
          <w:tcPr>
            <w:tcW w:type="dxa" w:w="2880"/>
          </w:tcPr>
          <w:p>
            <w:r>
              <w:rPr>
                <w:sz w:val="17"/>
              </w:rPr>
            </w:r>
            <w:r>
              <w:rPr>
                <w:b/>
                <w:sz w:val="17"/>
              </w:rPr>
              <w:t>0.12%</w:t>
            </w:r>
          </w:p>
        </w:tc>
        <w:tc>
          <w:tcPr>
            <w:tcW w:type="dxa" w:w="2880"/>
          </w:tcPr>
          <w:p>
            <w:r>
              <w:rPr>
                <w:sz w:val="17"/>
              </w:rPr>
            </w:r>
            <w:r>
              <w:rPr>
                <w:sz w:val="17"/>
              </w:rPr>
              <w:t>issuance volume; only this part enters revenue</w:t>
            </w:r>
          </w:p>
        </w:tc>
      </w:tr>
    </w:tbl>
    <w:p/>
    <w:p>
      <w:pPr>
        <w:pStyle w:val="Heading3"/>
      </w:pPr>
      <w:r>
        <w:t>1.4. Costs</w:t>
      </w:r>
    </w:p>
    <w:p>
      <w:pPr>
        <w:jc w:val="both"/>
      </w:pPr>
      <w:r>
        <w:t>Payroll is calculated as headcount × average salary × 12 × 1.30 (social contributions 30%). First-year salary — RUB 350 thousand per month, indexed at 6% per year.</w:t>
      </w:r>
    </w:p>
    <w:p>
      <w:pPr>
        <w:jc w:val="both"/>
      </w:pPr>
      <w:r>
        <w:t>Other operating costs = a base of RUB 502 mn indexed at 4% per year plus a variable share of 22% of revenue. The variable part covers acquiring, infrastructure under load, compliance, cybersecurity, legal support and customer acquisition; its size is calibrated so that the mature-year margin sits at the level of comparable infrastructure operators.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Parameter</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Headcount</w:t>
            </w:r>
          </w:p>
        </w:tc>
        <w:tc>
          <w:tcPr>
            <w:tcW w:type="dxa" w:w="785"/>
          </w:tcPr>
          <w:p>
            <w:r>
              <w:rPr>
                <w:sz w:val="17"/>
              </w:rPr>
            </w:r>
            <w:r>
              <w:rPr>
                <w:sz w:val="17"/>
              </w:rPr>
              <w:t>40</w:t>
            </w:r>
          </w:p>
        </w:tc>
        <w:tc>
          <w:tcPr>
            <w:tcW w:type="dxa" w:w="785"/>
          </w:tcPr>
          <w:p>
            <w:r>
              <w:rPr>
                <w:sz w:val="17"/>
              </w:rPr>
            </w:r>
            <w:r>
              <w:rPr>
                <w:sz w:val="17"/>
              </w:rPr>
              <w:t>120</w:t>
            </w:r>
          </w:p>
        </w:tc>
        <w:tc>
          <w:tcPr>
            <w:tcW w:type="dxa" w:w="785"/>
          </w:tcPr>
          <w:p>
            <w:r>
              <w:rPr>
                <w:sz w:val="17"/>
              </w:rPr>
            </w:r>
            <w:r>
              <w:rPr>
                <w:sz w:val="17"/>
              </w:rPr>
              <w:t>160</w:t>
            </w:r>
          </w:p>
        </w:tc>
        <w:tc>
          <w:tcPr>
            <w:tcW w:type="dxa" w:w="785"/>
          </w:tcPr>
          <w:p>
            <w:r>
              <w:rPr>
                <w:sz w:val="17"/>
              </w:rPr>
            </w:r>
            <w:r>
              <w:rPr>
                <w:sz w:val="17"/>
              </w:rPr>
              <w:t>200</w:t>
            </w:r>
          </w:p>
        </w:tc>
        <w:tc>
          <w:tcPr>
            <w:tcW w:type="dxa" w:w="785"/>
          </w:tcPr>
          <w:p>
            <w:r>
              <w:rPr>
                <w:sz w:val="17"/>
              </w:rPr>
            </w:r>
            <w:r>
              <w:rPr>
                <w:sz w:val="17"/>
              </w:rPr>
              <w:t>240</w:t>
            </w:r>
          </w:p>
        </w:tc>
        <w:tc>
          <w:tcPr>
            <w:tcW w:type="dxa" w:w="785"/>
          </w:tcPr>
          <w:p>
            <w:r>
              <w:rPr>
                <w:sz w:val="17"/>
              </w:rPr>
            </w:r>
            <w:r>
              <w:rPr>
                <w:sz w:val="17"/>
              </w:rPr>
              <w:t>270</w:t>
            </w:r>
          </w:p>
        </w:tc>
        <w:tc>
          <w:tcPr>
            <w:tcW w:type="dxa" w:w="785"/>
          </w:tcPr>
          <w:p>
            <w:r>
              <w:rPr>
                <w:sz w:val="17"/>
              </w:rPr>
            </w:r>
            <w:r>
              <w:rPr>
                <w:sz w:val="17"/>
              </w:rPr>
              <w:t>300</w:t>
            </w:r>
          </w:p>
        </w:tc>
        <w:tc>
          <w:tcPr>
            <w:tcW w:type="dxa" w:w="785"/>
          </w:tcPr>
          <w:p>
            <w:r>
              <w:rPr>
                <w:sz w:val="17"/>
              </w:rPr>
            </w:r>
            <w:r>
              <w:rPr>
                <w:sz w:val="17"/>
              </w:rPr>
              <w:t>330</w:t>
            </w:r>
          </w:p>
        </w:tc>
        <w:tc>
          <w:tcPr>
            <w:tcW w:type="dxa" w:w="785"/>
          </w:tcPr>
          <w:p>
            <w:r>
              <w:rPr>
                <w:sz w:val="17"/>
              </w:rPr>
            </w:r>
            <w:r>
              <w:rPr>
                <w:sz w:val="17"/>
              </w:rPr>
              <w:t>350</w:t>
            </w:r>
          </w:p>
        </w:tc>
        <w:tc>
          <w:tcPr>
            <w:tcW w:type="dxa" w:w="785"/>
          </w:tcPr>
          <w:p>
            <w:r>
              <w:rPr>
                <w:sz w:val="17"/>
              </w:rPr>
            </w:r>
            <w:r>
              <w:rPr>
                <w:sz w:val="17"/>
              </w:rPr>
              <w:t>370</w:t>
            </w:r>
          </w:p>
        </w:tc>
      </w:tr>
      <w:tr>
        <w:tc>
          <w:tcPr>
            <w:tcW w:type="dxa" w:w="785"/>
          </w:tcPr>
          <w:p>
            <w:r>
              <w:rPr>
                <w:sz w:val="17"/>
              </w:rPr>
            </w:r>
            <w:r>
              <w:rPr>
                <w:sz w:val="17"/>
              </w:rPr>
              <w:t>Average salary, RUB k/month</w:t>
            </w:r>
          </w:p>
        </w:tc>
        <w:tc>
          <w:tcPr>
            <w:tcW w:type="dxa" w:w="785"/>
          </w:tcPr>
          <w:p>
            <w:r>
              <w:rPr>
                <w:sz w:val="17"/>
              </w:rPr>
            </w:r>
            <w:r>
              <w:rPr>
                <w:sz w:val="17"/>
              </w:rPr>
              <w:t>350.0</w:t>
            </w:r>
          </w:p>
        </w:tc>
        <w:tc>
          <w:tcPr>
            <w:tcW w:type="dxa" w:w="785"/>
          </w:tcPr>
          <w:p>
            <w:r>
              <w:rPr>
                <w:sz w:val="17"/>
              </w:rPr>
            </w:r>
            <w:r>
              <w:rPr>
                <w:sz w:val="17"/>
              </w:rPr>
              <w:t>371.0</w:t>
            </w:r>
          </w:p>
        </w:tc>
        <w:tc>
          <w:tcPr>
            <w:tcW w:type="dxa" w:w="785"/>
          </w:tcPr>
          <w:p>
            <w:r>
              <w:rPr>
                <w:sz w:val="17"/>
              </w:rPr>
            </w:r>
            <w:r>
              <w:rPr>
                <w:sz w:val="17"/>
              </w:rPr>
              <w:t>393.3</w:t>
            </w:r>
          </w:p>
        </w:tc>
        <w:tc>
          <w:tcPr>
            <w:tcW w:type="dxa" w:w="785"/>
          </w:tcPr>
          <w:p>
            <w:r>
              <w:rPr>
                <w:sz w:val="17"/>
              </w:rPr>
            </w:r>
            <w:r>
              <w:rPr>
                <w:sz w:val="17"/>
              </w:rPr>
              <w:t>416.9</w:t>
            </w:r>
          </w:p>
        </w:tc>
        <w:tc>
          <w:tcPr>
            <w:tcW w:type="dxa" w:w="785"/>
          </w:tcPr>
          <w:p>
            <w:r>
              <w:rPr>
                <w:sz w:val="17"/>
              </w:rPr>
            </w:r>
            <w:r>
              <w:rPr>
                <w:sz w:val="17"/>
              </w:rPr>
              <w:t>441.9</w:t>
            </w:r>
          </w:p>
        </w:tc>
        <w:tc>
          <w:tcPr>
            <w:tcW w:type="dxa" w:w="785"/>
          </w:tcPr>
          <w:p>
            <w:r>
              <w:rPr>
                <w:sz w:val="17"/>
              </w:rPr>
            </w:r>
            <w:r>
              <w:rPr>
                <w:sz w:val="17"/>
              </w:rPr>
              <w:t>468.4</w:t>
            </w:r>
          </w:p>
        </w:tc>
        <w:tc>
          <w:tcPr>
            <w:tcW w:type="dxa" w:w="785"/>
          </w:tcPr>
          <w:p>
            <w:r>
              <w:rPr>
                <w:sz w:val="17"/>
              </w:rPr>
            </w:r>
            <w:r>
              <w:rPr>
                <w:sz w:val="17"/>
              </w:rPr>
              <w:t>496.5</w:t>
            </w:r>
          </w:p>
        </w:tc>
        <w:tc>
          <w:tcPr>
            <w:tcW w:type="dxa" w:w="785"/>
          </w:tcPr>
          <w:p>
            <w:r>
              <w:rPr>
                <w:sz w:val="17"/>
              </w:rPr>
            </w:r>
            <w:r>
              <w:rPr>
                <w:sz w:val="17"/>
              </w:rPr>
              <w:t>526.3</w:t>
            </w:r>
          </w:p>
        </w:tc>
        <w:tc>
          <w:tcPr>
            <w:tcW w:type="dxa" w:w="785"/>
          </w:tcPr>
          <w:p>
            <w:r>
              <w:rPr>
                <w:sz w:val="17"/>
              </w:rPr>
            </w:r>
            <w:r>
              <w:rPr>
                <w:sz w:val="17"/>
              </w:rPr>
              <w:t>557.8</w:t>
            </w:r>
          </w:p>
        </w:tc>
        <w:tc>
          <w:tcPr>
            <w:tcW w:type="dxa" w:w="785"/>
          </w:tcPr>
          <w:p>
            <w:r>
              <w:rPr>
                <w:sz w:val="17"/>
              </w:rPr>
            </w:r>
            <w:r>
              <w:rPr>
                <w:sz w:val="17"/>
              </w:rPr>
              <w:t>591.3</w:t>
            </w:r>
          </w:p>
        </w:tc>
      </w:tr>
      <w:tr>
        <w:tc>
          <w:tcPr>
            <w:tcW w:type="dxa" w:w="785"/>
          </w:tcPr>
          <w:p>
            <w:r>
              <w:rPr>
                <w:sz w:val="17"/>
              </w:rPr>
            </w:r>
            <w:r>
              <w:rPr>
                <w:sz w:val="17"/>
              </w:rPr>
              <w:t>Payroll incl. contributions, RUB mn</w:t>
            </w:r>
          </w:p>
        </w:tc>
        <w:tc>
          <w:tcPr>
            <w:tcW w:type="dxa" w:w="785"/>
          </w:tcPr>
          <w:p>
            <w:r>
              <w:rPr>
                <w:sz w:val="17"/>
              </w:rPr>
            </w:r>
            <w:r>
              <w:rPr>
                <w:sz w:val="17"/>
              </w:rPr>
              <w:t>218</w:t>
            </w:r>
          </w:p>
        </w:tc>
        <w:tc>
          <w:tcPr>
            <w:tcW w:type="dxa" w:w="785"/>
          </w:tcPr>
          <w:p>
            <w:r>
              <w:rPr>
                <w:sz w:val="17"/>
              </w:rPr>
            </w:r>
            <w:r>
              <w:rPr>
                <w:sz w:val="17"/>
              </w:rPr>
              <w:t>695</w:t>
            </w:r>
          </w:p>
        </w:tc>
        <w:tc>
          <w:tcPr>
            <w:tcW w:type="dxa" w:w="785"/>
          </w:tcPr>
          <w:p>
            <w:r>
              <w:rPr>
                <w:sz w:val="17"/>
              </w:rPr>
            </w:r>
            <w:r>
              <w:rPr>
                <w:sz w:val="17"/>
              </w:rPr>
              <w:t>982</w:t>
            </w:r>
          </w:p>
        </w:tc>
        <w:tc>
          <w:tcPr>
            <w:tcW w:type="dxa" w:w="785"/>
          </w:tcPr>
          <w:p>
            <w:r>
              <w:rPr>
                <w:sz w:val="17"/>
              </w:rPr>
            </w:r>
            <w:r>
              <w:rPr>
                <w:sz w:val="17"/>
              </w:rPr>
              <w:t>1,301</w:t>
            </w:r>
          </w:p>
        </w:tc>
        <w:tc>
          <w:tcPr>
            <w:tcW w:type="dxa" w:w="785"/>
          </w:tcPr>
          <w:p>
            <w:r>
              <w:rPr>
                <w:sz w:val="17"/>
              </w:rPr>
            </w:r>
            <w:r>
              <w:rPr>
                <w:sz w:val="17"/>
              </w:rPr>
              <w:t>1,654</w:t>
            </w:r>
          </w:p>
        </w:tc>
        <w:tc>
          <w:tcPr>
            <w:tcW w:type="dxa" w:w="785"/>
          </w:tcPr>
          <w:p>
            <w:r>
              <w:rPr>
                <w:sz w:val="17"/>
              </w:rPr>
            </w:r>
            <w:r>
              <w:rPr>
                <w:sz w:val="17"/>
              </w:rPr>
              <w:t>1,973</w:t>
            </w:r>
          </w:p>
        </w:tc>
        <w:tc>
          <w:tcPr>
            <w:tcW w:type="dxa" w:w="785"/>
          </w:tcPr>
          <w:p>
            <w:r>
              <w:rPr>
                <w:sz w:val="17"/>
              </w:rPr>
            </w:r>
            <w:r>
              <w:rPr>
                <w:sz w:val="17"/>
              </w:rPr>
              <w:t>2,324</w:t>
            </w:r>
          </w:p>
        </w:tc>
        <w:tc>
          <w:tcPr>
            <w:tcW w:type="dxa" w:w="785"/>
          </w:tcPr>
          <w:p>
            <w:r>
              <w:rPr>
                <w:sz w:val="17"/>
              </w:rPr>
            </w:r>
            <w:r>
              <w:rPr>
                <w:sz w:val="17"/>
              </w:rPr>
              <w:t>2,709</w:t>
            </w:r>
          </w:p>
        </w:tc>
        <w:tc>
          <w:tcPr>
            <w:tcW w:type="dxa" w:w="785"/>
          </w:tcPr>
          <w:p>
            <w:r>
              <w:rPr>
                <w:sz w:val="17"/>
              </w:rPr>
            </w:r>
            <w:r>
              <w:rPr>
                <w:sz w:val="17"/>
              </w:rPr>
              <w:t>3,046</w:t>
            </w:r>
          </w:p>
        </w:tc>
        <w:tc>
          <w:tcPr>
            <w:tcW w:type="dxa" w:w="785"/>
          </w:tcPr>
          <w:p>
            <w:r>
              <w:rPr>
                <w:sz w:val="17"/>
              </w:rPr>
            </w:r>
            <w:r>
              <w:rPr>
                <w:sz w:val="17"/>
              </w:rPr>
              <w:t>3,413</w:t>
            </w:r>
          </w:p>
        </w:tc>
      </w:tr>
      <w:tr>
        <w:tc>
          <w:tcPr>
            <w:tcW w:type="dxa" w:w="785"/>
          </w:tcPr>
          <w:p>
            <w:r>
              <w:rPr>
                <w:sz w:val="17"/>
              </w:rPr>
            </w:r>
            <w:r>
              <w:rPr>
                <w:sz w:val="17"/>
              </w:rPr>
              <w:t>Other operating costs, RUB mn</w:t>
            </w:r>
          </w:p>
        </w:tc>
        <w:tc>
          <w:tcPr>
            <w:tcW w:type="dxa" w:w="785"/>
          </w:tcPr>
          <w:p>
            <w:r>
              <w:rPr>
                <w:sz w:val="17"/>
              </w:rPr>
            </w:r>
            <w:r>
              <w:rPr>
                <w:sz w:val="17"/>
              </w:rPr>
              <w:t>502</w:t>
            </w:r>
          </w:p>
        </w:tc>
        <w:tc>
          <w:tcPr>
            <w:tcW w:type="dxa" w:w="785"/>
          </w:tcPr>
          <w:p>
            <w:r>
              <w:rPr>
                <w:sz w:val="17"/>
              </w:rPr>
            </w:r>
            <w:r>
              <w:rPr>
                <w:sz w:val="17"/>
              </w:rPr>
              <w:t>810</w:t>
            </w:r>
          </w:p>
        </w:tc>
        <w:tc>
          <w:tcPr>
            <w:tcW w:type="dxa" w:w="785"/>
          </w:tcPr>
          <w:p>
            <w:r>
              <w:rPr>
                <w:sz w:val="17"/>
              </w:rPr>
            </w:r>
            <w:r>
              <w:rPr>
                <w:sz w:val="17"/>
              </w:rPr>
              <w:t>1,977</w:t>
            </w:r>
          </w:p>
        </w:tc>
        <w:tc>
          <w:tcPr>
            <w:tcW w:type="dxa" w:w="785"/>
          </w:tcPr>
          <w:p>
            <w:r>
              <w:rPr>
                <w:sz w:val="17"/>
              </w:rPr>
            </w:r>
            <w:r>
              <w:rPr>
                <w:sz w:val="17"/>
              </w:rPr>
              <w:t>4,479</w:t>
            </w:r>
          </w:p>
        </w:tc>
        <w:tc>
          <w:tcPr>
            <w:tcW w:type="dxa" w:w="785"/>
          </w:tcPr>
          <w:p>
            <w:r>
              <w:rPr>
                <w:sz w:val="17"/>
              </w:rPr>
            </w:r>
            <w:r>
              <w:rPr>
                <w:sz w:val="17"/>
              </w:rPr>
              <w:t>9,172</w:t>
            </w:r>
          </w:p>
        </w:tc>
        <w:tc>
          <w:tcPr>
            <w:tcW w:type="dxa" w:w="785"/>
          </w:tcPr>
          <w:p>
            <w:r>
              <w:rPr>
                <w:sz w:val="17"/>
              </w:rPr>
            </w:r>
            <w:r>
              <w:rPr>
                <w:sz w:val="17"/>
              </w:rPr>
              <w:t>13,120</w:t>
            </w:r>
          </w:p>
        </w:tc>
        <w:tc>
          <w:tcPr>
            <w:tcW w:type="dxa" w:w="785"/>
          </w:tcPr>
          <w:p>
            <w:r>
              <w:rPr>
                <w:sz w:val="17"/>
              </w:rPr>
            </w:r>
            <w:r>
              <w:rPr>
                <w:sz w:val="17"/>
              </w:rPr>
              <w:t>17,506</w:t>
            </w:r>
          </w:p>
        </w:tc>
        <w:tc>
          <w:tcPr>
            <w:tcW w:type="dxa" w:w="785"/>
          </w:tcPr>
          <w:p>
            <w:r>
              <w:rPr>
                <w:sz w:val="17"/>
              </w:rPr>
            </w:r>
            <w:r>
              <w:rPr>
                <w:sz w:val="17"/>
              </w:rPr>
              <w:t>22,297</w:t>
            </w:r>
          </w:p>
        </w:tc>
        <w:tc>
          <w:tcPr>
            <w:tcW w:type="dxa" w:w="785"/>
          </w:tcPr>
          <w:p>
            <w:r>
              <w:rPr>
                <w:sz w:val="17"/>
              </w:rPr>
            </w:r>
            <w:r>
              <w:rPr>
                <w:sz w:val="17"/>
              </w:rPr>
              <w:t>27,279</w:t>
            </w:r>
          </w:p>
        </w:tc>
        <w:tc>
          <w:tcPr>
            <w:tcW w:type="dxa" w:w="785"/>
          </w:tcPr>
          <w:p>
            <w:r>
              <w:rPr>
                <w:sz w:val="17"/>
              </w:rPr>
            </w:r>
            <w:r>
              <w:rPr>
                <w:sz w:val="17"/>
              </w:rPr>
              <w:t>32,090</w:t>
            </w:r>
          </w:p>
        </w:tc>
      </w:tr>
      <w:tr>
        <w:tc>
          <w:tcPr>
            <w:tcW w:type="dxa" w:w="785"/>
          </w:tcPr>
          <w:p>
            <w:r>
              <w:rPr>
                <w:sz w:val="17"/>
              </w:rPr>
            </w:r>
            <w:r>
              <w:rPr>
                <w:sz w:val="17"/>
              </w:rPr>
              <w:t>Capital expenditure, RUB mn</w:t>
            </w:r>
          </w:p>
        </w:tc>
        <w:tc>
          <w:tcPr>
            <w:tcW w:type="dxa" w:w="785"/>
          </w:tcPr>
          <w:p>
            <w:r>
              <w:rPr>
                <w:sz w:val="17"/>
              </w:rPr>
            </w:r>
            <w:r>
              <w:rPr>
                <w:sz w:val="17"/>
              </w:rPr>
              <w:t>300</w:t>
            </w:r>
          </w:p>
        </w:tc>
        <w:tc>
          <w:tcPr>
            <w:tcW w:type="dxa" w:w="785"/>
          </w:tcPr>
          <w:p>
            <w:r>
              <w:rPr>
                <w:sz w:val="17"/>
              </w:rPr>
            </w:r>
            <w:r>
              <w:rPr>
                <w:sz w:val="17"/>
              </w:rPr>
              <w:t>420</w:t>
            </w:r>
          </w:p>
        </w:tc>
        <w:tc>
          <w:tcPr>
            <w:tcW w:type="dxa" w:w="785"/>
          </w:tcPr>
          <w:p>
            <w:r>
              <w:rPr>
                <w:sz w:val="17"/>
              </w:rPr>
            </w:r>
            <w:r>
              <w:rPr>
                <w:sz w:val="17"/>
              </w:rPr>
              <w:t>400</w:t>
            </w:r>
          </w:p>
        </w:tc>
        <w:tc>
          <w:tcPr>
            <w:tcW w:type="dxa" w:w="785"/>
          </w:tcPr>
          <w:p>
            <w:r>
              <w:rPr>
                <w:sz w:val="17"/>
              </w:rPr>
            </w:r>
            <w:r>
              <w:rPr>
                <w:sz w:val="17"/>
              </w:rPr>
              <w:t>550</w:t>
            </w:r>
          </w:p>
        </w:tc>
        <w:tc>
          <w:tcPr>
            <w:tcW w:type="dxa" w:w="785"/>
          </w:tcPr>
          <w:p>
            <w:r>
              <w:rPr>
                <w:sz w:val="17"/>
              </w:rPr>
            </w:r>
            <w:r>
              <w:rPr>
                <w:sz w:val="17"/>
              </w:rPr>
              <w:t>1,800</w:t>
            </w:r>
          </w:p>
        </w:tc>
        <w:tc>
          <w:tcPr>
            <w:tcW w:type="dxa" w:w="785"/>
          </w:tcPr>
          <w:p>
            <w:r>
              <w:rPr>
                <w:sz w:val="17"/>
              </w:rPr>
            </w:r>
            <w:r>
              <w:rPr>
                <w:sz w:val="17"/>
              </w:rPr>
              <w:t>2,400</w:t>
            </w:r>
          </w:p>
        </w:tc>
        <w:tc>
          <w:tcPr>
            <w:tcW w:type="dxa" w:w="785"/>
          </w:tcPr>
          <w:p>
            <w:r>
              <w:rPr>
                <w:sz w:val="17"/>
              </w:rPr>
            </w:r>
            <w:r>
              <w:rPr>
                <w:sz w:val="17"/>
              </w:rPr>
              <w:t>1,600</w:t>
            </w:r>
          </w:p>
        </w:tc>
        <w:tc>
          <w:tcPr>
            <w:tcW w:type="dxa" w:w="785"/>
          </w:tcPr>
          <w:p>
            <w:r>
              <w:rPr>
                <w:sz w:val="17"/>
              </w:rPr>
            </w:r>
            <w:r>
              <w:rPr>
                <w:sz w:val="17"/>
              </w:rPr>
              <w:t>1,800</w:t>
            </w:r>
          </w:p>
        </w:tc>
        <w:tc>
          <w:tcPr>
            <w:tcW w:type="dxa" w:w="785"/>
          </w:tcPr>
          <w:p>
            <w:r>
              <w:rPr>
                <w:sz w:val="17"/>
              </w:rPr>
            </w:r>
            <w:r>
              <w:rPr>
                <w:sz w:val="17"/>
              </w:rPr>
              <w:t>2,300</w:t>
            </w:r>
          </w:p>
        </w:tc>
        <w:tc>
          <w:tcPr>
            <w:tcW w:type="dxa" w:w="785"/>
          </w:tcPr>
          <w:p>
            <w:r>
              <w:rPr>
                <w:sz w:val="17"/>
              </w:rPr>
            </w:r>
            <w:r>
              <w:rPr>
                <w:sz w:val="17"/>
              </w:rPr>
              <w:t>2,000</w:t>
            </w:r>
          </w:p>
        </w:tc>
      </w:tr>
      <w:tr>
        <w:tc>
          <w:tcPr>
            <w:tcW w:type="dxa" w:w="785"/>
          </w:tcPr>
          <w:p>
            <w:r>
              <w:rPr>
                <w:sz w:val="17"/>
              </w:rPr>
            </w:r>
            <w:r>
              <w:rPr>
                <w:sz w:val="17"/>
              </w:rPr>
              <w:t>Depreciation, RUB mn</w:t>
            </w:r>
          </w:p>
        </w:tc>
        <w:tc>
          <w:tcPr>
            <w:tcW w:type="dxa" w:w="785"/>
          </w:tcPr>
          <w:p>
            <w:r>
              <w:rPr>
                <w:sz w:val="17"/>
              </w:rPr>
            </w:r>
            <w:r>
              <w:rPr>
                <w:sz w:val="17"/>
              </w:rPr>
              <w:t>43</w:t>
            </w:r>
          </w:p>
        </w:tc>
        <w:tc>
          <w:tcPr>
            <w:tcW w:type="dxa" w:w="785"/>
          </w:tcPr>
          <w:p>
            <w:r>
              <w:rPr>
                <w:sz w:val="17"/>
              </w:rPr>
            </w:r>
            <w:r>
              <w:rPr>
                <w:sz w:val="17"/>
              </w:rPr>
              <w:t>103</w:t>
            </w:r>
          </w:p>
        </w:tc>
        <w:tc>
          <w:tcPr>
            <w:tcW w:type="dxa" w:w="785"/>
          </w:tcPr>
          <w:p>
            <w:r>
              <w:rPr>
                <w:sz w:val="17"/>
              </w:rPr>
            </w:r>
            <w:r>
              <w:rPr>
                <w:sz w:val="17"/>
              </w:rPr>
              <w:t>160</w:t>
            </w:r>
          </w:p>
        </w:tc>
        <w:tc>
          <w:tcPr>
            <w:tcW w:type="dxa" w:w="785"/>
          </w:tcPr>
          <w:p>
            <w:r>
              <w:rPr>
                <w:sz w:val="17"/>
              </w:rPr>
            </w:r>
            <w:r>
              <w:rPr>
                <w:sz w:val="17"/>
              </w:rPr>
              <w:t>239</w:t>
            </w:r>
          </w:p>
        </w:tc>
        <w:tc>
          <w:tcPr>
            <w:tcW w:type="dxa" w:w="785"/>
          </w:tcPr>
          <w:p>
            <w:r>
              <w:rPr>
                <w:sz w:val="17"/>
              </w:rPr>
            </w:r>
            <w:r>
              <w:rPr>
                <w:sz w:val="17"/>
              </w:rPr>
              <w:t>496</w:t>
            </w:r>
          </w:p>
        </w:tc>
        <w:tc>
          <w:tcPr>
            <w:tcW w:type="dxa" w:w="785"/>
          </w:tcPr>
          <w:p>
            <w:r>
              <w:rPr>
                <w:sz w:val="17"/>
              </w:rPr>
            </w:r>
            <w:r>
              <w:rPr>
                <w:sz w:val="17"/>
              </w:rPr>
              <w:t>839</w:t>
            </w:r>
          </w:p>
        </w:tc>
        <w:tc>
          <w:tcPr>
            <w:tcW w:type="dxa" w:w="785"/>
          </w:tcPr>
          <w:p>
            <w:r>
              <w:rPr>
                <w:sz w:val="17"/>
              </w:rPr>
            </w:r>
            <w:r>
              <w:rPr>
                <w:sz w:val="17"/>
              </w:rPr>
              <w:t>1,067</w:t>
            </w:r>
          </w:p>
        </w:tc>
        <w:tc>
          <w:tcPr>
            <w:tcW w:type="dxa" w:w="785"/>
          </w:tcPr>
          <w:p>
            <w:r>
              <w:rPr>
                <w:sz w:val="17"/>
              </w:rPr>
            </w:r>
            <w:r>
              <w:rPr>
                <w:sz w:val="17"/>
              </w:rPr>
              <w:t>1,281</w:t>
            </w:r>
          </w:p>
        </w:tc>
        <w:tc>
          <w:tcPr>
            <w:tcW w:type="dxa" w:w="785"/>
          </w:tcPr>
          <w:p>
            <w:r>
              <w:rPr>
                <w:sz w:val="17"/>
              </w:rPr>
            </w:r>
            <w:r>
              <w:rPr>
                <w:sz w:val="17"/>
              </w:rPr>
              <w:t>1,550</w:t>
            </w:r>
          </w:p>
        </w:tc>
        <w:tc>
          <w:tcPr>
            <w:tcW w:type="dxa" w:w="785"/>
          </w:tcPr>
          <w:p>
            <w:r>
              <w:rPr>
                <w:sz w:val="17"/>
              </w:rPr>
            </w:r>
            <w:r>
              <w:rPr>
                <w:sz w:val="17"/>
              </w:rPr>
              <w:t>1,779</w:t>
            </w:r>
          </w:p>
        </w:tc>
      </w:tr>
    </w:tbl>
    <w:p/>
    <w:p>
      <w:pPr>
        <w:jc w:val="both"/>
      </w:pPr>
      <w:r>
        <w:t xml:space="preserve">Capital expenditure over the horizon — </w:t>
      </w:r>
      <w:r>
        <w:rPr>
          <w:b/>
        </w:rPr>
        <w:t>RUB 13,570 mn</w:t>
      </w:r>
      <w:r>
        <w:t>. Depreciation period 7 years.</w:t>
      </w:r>
    </w:p>
    <w:p>
      <w:pPr>
        <w:pStyle w:val="Heading3"/>
      </w:pPr>
      <w:r>
        <w:t>1.5. Taxes and working capital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Parameter</w:t>
            </w:r>
          </w:p>
        </w:tc>
        <w:tc>
          <w:tcPr>
            <w:tcW w:type="dxa" w:w="2880"/>
          </w:tcPr>
          <w:p>
            <w:r>
              <w:rPr>
                <w:b/>
                <w:sz w:val="17"/>
              </w:rPr>
            </w:r>
            <w:r>
              <w:rPr>
                <w:b/>
                <w:sz w:val="17"/>
              </w:rPr>
              <w:t>Value</w:t>
            </w:r>
          </w:p>
        </w:tc>
        <w:tc>
          <w:tcPr>
            <w:tcW w:type="dxa" w:w="2880"/>
          </w:tcPr>
          <w:p>
            <w:r>
              <w:rPr>
                <w:b/>
                <w:sz w:val="17"/>
              </w:rPr>
            </w:r>
            <w:r>
              <w:rPr>
                <w:b/>
                <w:sz w:val="17"/>
              </w:rPr>
              <w:t>Basis</w:t>
            </w:r>
          </w:p>
        </w:tc>
      </w:tr>
      <w:tr>
        <w:tc>
          <w:tcPr>
            <w:tcW w:type="dxa" w:w="2880"/>
          </w:tcPr>
          <w:p>
            <w:r>
              <w:rPr>
                <w:sz w:val="17"/>
              </w:rPr>
            </w:r>
            <w:r>
              <w:rPr>
                <w:sz w:val="17"/>
              </w:rPr>
              <w:t>Profit tax</w:t>
            </w:r>
          </w:p>
        </w:tc>
        <w:tc>
          <w:tcPr>
            <w:tcW w:type="dxa" w:w="2880"/>
          </w:tcPr>
          <w:p>
            <w:r>
              <w:rPr>
                <w:sz w:val="17"/>
              </w:rPr>
            </w:r>
            <w:r>
              <w:rPr>
                <w:sz w:val="17"/>
              </w:rPr>
              <w:t>25%</w:t>
            </w:r>
          </w:p>
        </w:tc>
        <w:tc>
          <w:tcPr>
            <w:tcW w:type="dxa" w:w="2880"/>
          </w:tcPr>
          <w:p>
            <w:r>
              <w:rPr>
                <w:sz w:val="17"/>
              </w:rPr>
            </w:r>
            <w:r>
              <w:rPr>
                <w:sz w:val="17"/>
              </w:rPr>
              <w:t>Federal Law 176-FZ of 12.07.2024, in force from 01.01.2025</w:t>
            </w:r>
          </w:p>
        </w:tc>
      </w:tr>
      <w:tr>
        <w:tc>
          <w:tcPr>
            <w:tcW w:type="dxa" w:w="2880"/>
          </w:tcPr>
          <w:p>
            <w:r>
              <w:rPr>
                <w:sz w:val="17"/>
              </w:rPr>
            </w:r>
            <w:r>
              <w:rPr>
                <w:sz w:val="17"/>
              </w:rPr>
              <w:t>Cap on carry-forward of prior-year losses</w:t>
            </w:r>
          </w:p>
        </w:tc>
        <w:tc>
          <w:tcPr>
            <w:tcW w:type="dxa" w:w="2880"/>
          </w:tcPr>
          <w:p>
            <w:r>
              <w:rPr>
                <w:sz w:val="17"/>
              </w:rPr>
            </w:r>
            <w:r>
              <w:rPr>
                <w:sz w:val="17"/>
              </w:rPr>
              <w:t>50%</w:t>
            </w:r>
          </w:p>
        </w:tc>
        <w:tc>
          <w:tcPr>
            <w:tcW w:type="dxa" w:w="2880"/>
          </w:tcPr>
          <w:p>
            <w:r>
              <w:rPr>
                <w:sz w:val="17"/>
              </w:rPr>
            </w:r>
            <w:r>
              <w:rPr>
                <w:sz w:val="17"/>
              </w:rPr>
              <w:t>Art. 283 of the Tax Code</w:t>
            </w:r>
          </w:p>
        </w:tc>
      </w:tr>
      <w:tr>
        <w:tc>
          <w:tcPr>
            <w:tcW w:type="dxa" w:w="2880"/>
          </w:tcPr>
          <w:p>
            <w:r>
              <w:rPr>
                <w:sz w:val="17"/>
              </w:rPr>
            </w:r>
            <w:r>
              <w:rPr>
                <w:sz w:val="17"/>
              </w:rPr>
              <w:t>Social contributions</w:t>
            </w:r>
          </w:p>
        </w:tc>
        <w:tc>
          <w:tcPr>
            <w:tcW w:type="dxa" w:w="2880"/>
          </w:tcPr>
          <w:p>
            <w:r>
              <w:rPr>
                <w:sz w:val="17"/>
              </w:rPr>
            </w:r>
            <w:r>
              <w:rPr>
                <w:sz w:val="17"/>
              </w:rPr>
              <w:t>30%</w:t>
            </w:r>
          </w:p>
        </w:tc>
        <w:tc>
          <w:tcPr>
            <w:tcW w:type="dxa" w:w="2880"/>
          </w:tcPr>
          <w:p>
            <w:r>
              <w:rPr>
                <w:sz w:val="17"/>
              </w:rPr>
            </w:r>
            <w:r>
              <w:rPr>
                <w:sz w:val="17"/>
              </w:rPr>
              <w:t>Ch. 34 of the Tax Code</w:t>
            </w:r>
          </w:p>
        </w:tc>
      </w:tr>
      <w:tr>
        <w:tc>
          <w:tcPr>
            <w:tcW w:type="dxa" w:w="2880"/>
          </w:tcPr>
          <w:p>
            <w:r>
              <w:rPr>
                <w:sz w:val="17"/>
              </w:rPr>
            </w:r>
            <w:r>
              <w:rPr>
                <w:sz w:val="17"/>
              </w:rPr>
              <w:t>Working capital</w:t>
            </w:r>
          </w:p>
        </w:tc>
        <w:tc>
          <w:tcPr>
            <w:tcW w:type="dxa" w:w="2880"/>
          </w:tcPr>
          <w:p>
            <w:r>
              <w:rPr>
                <w:sz w:val="17"/>
              </w:rPr>
            </w:r>
            <w:r>
              <w:rPr>
                <w:sz w:val="17"/>
              </w:rPr>
              <w:t>5%</w:t>
            </w:r>
          </w:p>
        </w:tc>
        <w:tc>
          <w:tcPr>
            <w:tcW w:type="dxa" w:w="2880"/>
          </w:tcPr>
          <w:p>
            <w:r>
              <w:rPr>
                <w:sz w:val="17"/>
              </w:rPr>
            </w:r>
            <w:r>
              <w:rPr>
                <w:sz w:val="17"/>
              </w:rPr>
              <w:t>of revenue</w:t>
            </w:r>
          </w:p>
        </w:tc>
      </w:tr>
    </w:tbl>
    <w:p/>
    <w:p>
      <w:pPr>
        <w:ind w:left="360"/>
      </w:pPr>
      <w:r>
        <w:rPr>
          <w:i/>
          <w:color w:val="444444"/>
        </w:rPr>
        <w:t>The profit-tax relief available to accredited IT organisations is not built into the base case — it is separate upside, not an assumption.</w:t>
      </w:r>
    </w:p>
    <w:p>
      <w:pPr>
        <w:ind w:left="360"/>
      </w:pPr>
      <w:r>
        <w:rPr>
          <w:b/>
          <w:i/>
          <w:color w:val="444444"/>
        </w:rPr>
        <w:t>VAT.</w:t>
      </w:r>
      <w:r>
        <w:rPr>
          <w:i/>
          <w:color w:val="444444"/>
        </w:rPr>
        <w:t xml:space="preserve"> Transactions in digital financial assets are not subject to value added tax: such assets are classified as securities, and the sale of securities is VAT-exempt (sub-clause 12, clause 2, Art. 149 of the Tax Code). The position was confirmed by the owner of the project on 07.09.2026 and is built into the model.</w:t>
      </w:r>
    </w:p>
    <w:p>
      <w:pPr>
        <w:pStyle w:val="Heading2"/>
      </w:pPr>
      <w:r>
        <w:t>Sheet 2. Revenue</w:t>
      </w:r>
    </w:p>
    <w:p>
      <w:pPr>
        <w:jc w:val="both"/>
      </w:pPr>
      <w:r>
        <w:t>All amounts in RUB mn. The total equals the sum of the lines.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Line</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Issuance fee</w:t>
            </w:r>
          </w:p>
        </w:tc>
        <w:tc>
          <w:tcPr>
            <w:tcW w:type="dxa" w:w="785"/>
          </w:tcPr>
          <w:p>
            <w:r>
              <w:rPr>
                <w:sz w:val="17"/>
              </w:rPr>
            </w:r>
            <w:r>
              <w:rPr>
                <w:sz w:val="17"/>
              </w:rPr>
              <w:t>0</w:t>
            </w:r>
          </w:p>
        </w:tc>
        <w:tc>
          <w:tcPr>
            <w:tcW w:type="dxa" w:w="785"/>
          </w:tcPr>
          <w:p>
            <w:r>
              <w:rPr>
                <w:sz w:val="17"/>
              </w:rPr>
            </w:r>
            <w:r>
              <w:rPr>
                <w:sz w:val="17"/>
              </w:rPr>
              <w:t>562</w:t>
            </w:r>
          </w:p>
        </w:tc>
        <w:tc>
          <w:tcPr>
            <w:tcW w:type="dxa" w:w="785"/>
          </w:tcPr>
          <w:p>
            <w:r>
              <w:rPr>
                <w:sz w:val="17"/>
              </w:rPr>
            </w:r>
            <w:r>
              <w:rPr>
                <w:sz w:val="17"/>
              </w:rPr>
              <w:t>2,632</w:t>
            </w:r>
          </w:p>
        </w:tc>
        <w:tc>
          <w:tcPr>
            <w:tcW w:type="dxa" w:w="785"/>
          </w:tcPr>
          <w:p>
            <w:r>
              <w:rPr>
                <w:sz w:val="17"/>
              </w:rPr>
            </w:r>
            <w:r>
              <w:rPr>
                <w:sz w:val="17"/>
              </w:rPr>
              <w:t>6,692</w:t>
            </w:r>
          </w:p>
        </w:tc>
        <w:tc>
          <w:tcPr>
            <w:tcW w:type="dxa" w:w="785"/>
          </w:tcPr>
          <w:p>
            <w:r>
              <w:rPr>
                <w:sz w:val="17"/>
              </w:rPr>
            </w:r>
            <w:r>
              <w:rPr>
                <w:sz w:val="17"/>
              </w:rPr>
              <w:t>13,919</w:t>
            </w:r>
          </w:p>
        </w:tc>
        <w:tc>
          <w:tcPr>
            <w:tcW w:type="dxa" w:w="785"/>
          </w:tcPr>
          <w:p>
            <w:r>
              <w:rPr>
                <w:sz w:val="17"/>
              </w:rPr>
            </w:r>
            <w:r>
              <w:rPr>
                <w:sz w:val="17"/>
              </w:rPr>
              <w:t>17,765</w:t>
            </w:r>
          </w:p>
        </w:tc>
        <w:tc>
          <w:tcPr>
            <w:tcW w:type="dxa" w:w="785"/>
          </w:tcPr>
          <w:p>
            <w:r>
              <w:rPr>
                <w:sz w:val="17"/>
              </w:rPr>
            </w:r>
            <w:r>
              <w:rPr>
                <w:sz w:val="17"/>
              </w:rPr>
              <w:t>21,555</w:t>
            </w:r>
          </w:p>
        </w:tc>
        <w:tc>
          <w:tcPr>
            <w:tcW w:type="dxa" w:w="785"/>
          </w:tcPr>
          <w:p>
            <w:r>
              <w:rPr>
                <w:sz w:val="17"/>
              </w:rPr>
            </w:r>
            <w:r>
              <w:rPr>
                <w:sz w:val="17"/>
              </w:rPr>
              <w:t>25,620</w:t>
            </w:r>
          </w:p>
        </w:tc>
        <w:tc>
          <w:tcPr>
            <w:tcW w:type="dxa" w:w="785"/>
          </w:tcPr>
          <w:p>
            <w:r>
              <w:rPr>
                <w:sz w:val="17"/>
              </w:rPr>
            </w:r>
            <w:r>
              <w:rPr>
                <w:sz w:val="17"/>
              </w:rPr>
              <w:t>29,975</w:t>
            </w:r>
          </w:p>
        </w:tc>
        <w:tc>
          <w:tcPr>
            <w:tcW w:type="dxa" w:w="785"/>
          </w:tcPr>
          <w:p>
            <w:r>
              <w:rPr>
                <w:sz w:val="17"/>
              </w:rPr>
            </w:r>
            <w:r>
              <w:rPr>
                <w:sz w:val="17"/>
              </w:rPr>
              <w:t>34,638</w:t>
            </w:r>
          </w:p>
        </w:tc>
      </w:tr>
      <w:tr>
        <w:tc>
          <w:tcPr>
            <w:tcW w:type="dxa" w:w="785"/>
          </w:tcPr>
          <w:p>
            <w:r>
              <w:rPr>
                <w:sz w:val="17"/>
              </w:rPr>
            </w:r>
            <w:r>
              <w:rPr>
                <w:sz w:val="17"/>
              </w:rPr>
              <w:t>Servicing fee</w:t>
            </w:r>
          </w:p>
        </w:tc>
        <w:tc>
          <w:tcPr>
            <w:tcW w:type="dxa" w:w="785"/>
          </w:tcPr>
          <w:p>
            <w:r>
              <w:rPr>
                <w:sz w:val="17"/>
              </w:rPr>
            </w:r>
            <w:r>
              <w:rPr>
                <w:sz w:val="17"/>
              </w:rPr>
              <w:t>0</w:t>
            </w:r>
          </w:p>
        </w:tc>
        <w:tc>
          <w:tcPr>
            <w:tcW w:type="dxa" w:w="785"/>
          </w:tcPr>
          <w:p>
            <w:r>
              <w:rPr>
                <w:sz w:val="17"/>
              </w:rPr>
            </w:r>
            <w:r>
              <w:rPr>
                <w:sz w:val="17"/>
              </w:rPr>
              <w:t>337</w:t>
            </w:r>
          </w:p>
        </w:tc>
        <w:tc>
          <w:tcPr>
            <w:tcW w:type="dxa" w:w="785"/>
          </w:tcPr>
          <w:p>
            <w:r>
              <w:rPr>
                <w:sz w:val="17"/>
              </w:rPr>
            </w:r>
            <w:r>
              <w:rPr>
                <w:sz w:val="17"/>
              </w:rPr>
              <w:t>1,917</w:t>
            </w:r>
          </w:p>
        </w:tc>
        <w:tc>
          <w:tcPr>
            <w:tcW w:type="dxa" w:w="785"/>
          </w:tcPr>
          <w:p>
            <w:r>
              <w:rPr>
                <w:sz w:val="17"/>
              </w:rPr>
            </w:r>
            <w:r>
              <w:rPr>
                <w:sz w:val="17"/>
              </w:rPr>
              <w:t>5,932</w:t>
            </w:r>
          </w:p>
        </w:tc>
        <w:tc>
          <w:tcPr>
            <w:tcW w:type="dxa" w:w="785"/>
          </w:tcPr>
          <w:p>
            <w:r>
              <w:rPr>
                <w:sz w:val="17"/>
              </w:rPr>
            </w:r>
            <w:r>
              <w:rPr>
                <w:sz w:val="17"/>
              </w:rPr>
              <w:t>14,283</w:t>
            </w:r>
          </w:p>
        </w:tc>
        <w:tc>
          <w:tcPr>
            <w:tcW w:type="dxa" w:w="785"/>
          </w:tcPr>
          <w:p>
            <w:r>
              <w:rPr>
                <w:sz w:val="17"/>
              </w:rPr>
            </w:r>
            <w:r>
              <w:rPr>
                <w:sz w:val="17"/>
              </w:rPr>
              <w:t>24,942</w:t>
            </w:r>
          </w:p>
        </w:tc>
        <w:tc>
          <w:tcPr>
            <w:tcW w:type="dxa" w:w="785"/>
          </w:tcPr>
          <w:p>
            <w:r>
              <w:rPr>
                <w:sz w:val="17"/>
              </w:rPr>
            </w:r>
            <w:r>
              <w:rPr>
                <w:sz w:val="17"/>
              </w:rPr>
              <w:t>37,537</w:t>
            </w:r>
          </w:p>
        </w:tc>
        <w:tc>
          <w:tcPr>
            <w:tcW w:type="dxa" w:w="785"/>
          </w:tcPr>
          <w:p>
            <w:r>
              <w:rPr>
                <w:sz w:val="17"/>
              </w:rPr>
            </w:r>
            <w:r>
              <w:rPr>
                <w:sz w:val="17"/>
              </w:rPr>
              <w:t>51,330</w:t>
            </w:r>
          </w:p>
        </w:tc>
        <w:tc>
          <w:tcPr>
            <w:tcW w:type="dxa" w:w="785"/>
          </w:tcPr>
          <w:p>
            <w:r>
              <w:rPr>
                <w:sz w:val="17"/>
              </w:rPr>
            </w:r>
            <w:r>
              <w:rPr>
                <w:sz w:val="17"/>
              </w:rPr>
              <w:t>65,300</w:t>
            </w:r>
          </w:p>
        </w:tc>
        <w:tc>
          <w:tcPr>
            <w:tcW w:type="dxa" w:w="785"/>
          </w:tcPr>
          <w:p>
            <w:r>
              <w:rPr>
                <w:sz w:val="17"/>
              </w:rPr>
            </w:r>
            <w:r>
              <w:rPr>
                <w:sz w:val="17"/>
              </w:rPr>
              <w:t>77,731</w:t>
            </w:r>
          </w:p>
        </w:tc>
      </w:tr>
      <w:tr>
        <w:tc>
          <w:tcPr>
            <w:tcW w:type="dxa" w:w="785"/>
          </w:tcPr>
          <w:p>
            <w:r>
              <w:rPr>
                <w:sz w:val="17"/>
              </w:rPr>
            </w:r>
            <w:r>
              <w:rPr>
                <w:sz w:val="17"/>
              </w:rPr>
              <w:t>Platform fee</w:t>
            </w:r>
          </w:p>
        </w:tc>
        <w:tc>
          <w:tcPr>
            <w:tcW w:type="dxa" w:w="785"/>
          </w:tcPr>
          <w:p>
            <w:r>
              <w:rPr>
                <w:sz w:val="17"/>
              </w:rPr>
            </w:r>
            <w:r>
              <w:rPr>
                <w:sz w:val="17"/>
              </w:rPr>
              <w:t>0</w:t>
            </w:r>
          </w:p>
        </w:tc>
        <w:tc>
          <w:tcPr>
            <w:tcW w:type="dxa" w:w="785"/>
          </w:tcPr>
          <w:p>
            <w:r>
              <w:rPr>
                <w:sz w:val="17"/>
              </w:rPr>
            </w:r>
            <w:r>
              <w:rPr>
                <w:sz w:val="17"/>
              </w:rPr>
              <w:t>169</w:t>
            </w:r>
          </w:p>
        </w:tc>
        <w:tc>
          <w:tcPr>
            <w:tcW w:type="dxa" w:w="785"/>
          </w:tcPr>
          <w:p>
            <w:r>
              <w:rPr>
                <w:sz w:val="17"/>
              </w:rPr>
            </w:r>
            <w:r>
              <w:rPr>
                <w:sz w:val="17"/>
              </w:rPr>
              <w:t>790</w:t>
            </w:r>
          </w:p>
        </w:tc>
        <w:tc>
          <w:tcPr>
            <w:tcW w:type="dxa" w:w="785"/>
          </w:tcPr>
          <w:p>
            <w:r>
              <w:rPr>
                <w:sz w:val="17"/>
              </w:rPr>
            </w:r>
            <w:r>
              <w:rPr>
                <w:sz w:val="17"/>
              </w:rPr>
              <w:t>2,007</w:t>
            </w:r>
          </w:p>
        </w:tc>
        <w:tc>
          <w:tcPr>
            <w:tcW w:type="dxa" w:w="785"/>
          </w:tcPr>
          <w:p>
            <w:r>
              <w:rPr>
                <w:sz w:val="17"/>
              </w:rPr>
            </w:r>
            <w:r>
              <w:rPr>
                <w:sz w:val="17"/>
              </w:rPr>
              <w:t>4,176</w:t>
            </w:r>
          </w:p>
        </w:tc>
        <w:tc>
          <w:tcPr>
            <w:tcW w:type="dxa" w:w="785"/>
          </w:tcPr>
          <w:p>
            <w:r>
              <w:rPr>
                <w:sz w:val="17"/>
              </w:rPr>
            </w:r>
            <w:r>
              <w:rPr>
                <w:sz w:val="17"/>
              </w:rPr>
              <w:t>5,330</w:t>
            </w:r>
          </w:p>
        </w:tc>
        <w:tc>
          <w:tcPr>
            <w:tcW w:type="dxa" w:w="785"/>
          </w:tcPr>
          <w:p>
            <w:r>
              <w:rPr>
                <w:sz w:val="17"/>
              </w:rPr>
            </w:r>
            <w:r>
              <w:rPr>
                <w:sz w:val="17"/>
              </w:rPr>
              <w:t>6,466</w:t>
            </w:r>
          </w:p>
        </w:tc>
        <w:tc>
          <w:tcPr>
            <w:tcW w:type="dxa" w:w="785"/>
          </w:tcPr>
          <w:p>
            <w:r>
              <w:rPr>
                <w:sz w:val="17"/>
              </w:rPr>
            </w:r>
            <w:r>
              <w:rPr>
                <w:sz w:val="17"/>
              </w:rPr>
              <w:t>7,686</w:t>
            </w:r>
          </w:p>
        </w:tc>
        <w:tc>
          <w:tcPr>
            <w:tcW w:type="dxa" w:w="785"/>
          </w:tcPr>
          <w:p>
            <w:r>
              <w:rPr>
                <w:sz w:val="17"/>
              </w:rPr>
            </w:r>
            <w:r>
              <w:rPr>
                <w:sz w:val="17"/>
              </w:rPr>
              <w:t>8,992</w:t>
            </w:r>
          </w:p>
        </w:tc>
        <w:tc>
          <w:tcPr>
            <w:tcW w:type="dxa" w:w="785"/>
          </w:tcPr>
          <w:p>
            <w:r>
              <w:rPr>
                <w:sz w:val="17"/>
              </w:rPr>
            </w:r>
            <w:r>
              <w:rPr>
                <w:sz w:val="17"/>
              </w:rPr>
              <w:t>10,391</w:t>
            </w:r>
          </w:p>
        </w:tc>
      </w:tr>
      <w:tr>
        <w:tc>
          <w:tcPr>
            <w:tcW w:type="dxa" w:w="785"/>
          </w:tcPr>
          <w:p>
            <w:r>
              <w:rPr>
                <w:sz w:val="17"/>
              </w:rPr>
            </w:r>
            <w:r>
              <w:rPr>
                <w:sz w:val="17"/>
              </w:rPr>
              <w:t>B2B2G licences</w:t>
            </w:r>
          </w:p>
        </w:tc>
        <w:tc>
          <w:tcPr>
            <w:tcW w:type="dxa" w:w="785"/>
          </w:tcPr>
          <w:p>
            <w:r>
              <w:rPr>
                <w:sz w:val="17"/>
              </w:rPr>
            </w:r>
            <w:r>
              <w:rPr>
                <w:sz w:val="17"/>
              </w:rPr>
              <w:t>0</w:t>
            </w:r>
          </w:p>
        </w:tc>
        <w:tc>
          <w:tcPr>
            <w:tcW w:type="dxa" w:w="785"/>
          </w:tcPr>
          <w:p>
            <w:r>
              <w:rPr>
                <w:sz w:val="17"/>
              </w:rPr>
            </w:r>
            <w:r>
              <w:rPr>
                <w:sz w:val="17"/>
              </w:rPr>
              <w:t>56</w:t>
            </w:r>
          </w:p>
        </w:tc>
        <w:tc>
          <w:tcPr>
            <w:tcW w:type="dxa" w:w="785"/>
          </w:tcPr>
          <w:p>
            <w:r>
              <w:rPr>
                <w:sz w:val="17"/>
              </w:rPr>
            </w:r>
            <w:r>
              <w:rPr>
                <w:sz w:val="17"/>
              </w:rPr>
              <w:t>369</w:t>
            </w:r>
          </w:p>
        </w:tc>
        <w:tc>
          <w:tcPr>
            <w:tcW w:type="dxa" w:w="785"/>
          </w:tcPr>
          <w:p>
            <w:r>
              <w:rPr>
                <w:sz w:val="17"/>
              </w:rPr>
            </w:r>
            <w:r>
              <w:rPr>
                <w:sz w:val="17"/>
              </w:rPr>
              <w:t>1,204</w:t>
            </w:r>
          </w:p>
        </w:tc>
        <w:tc>
          <w:tcPr>
            <w:tcW w:type="dxa" w:w="785"/>
          </w:tcPr>
          <w:p>
            <w:r>
              <w:rPr>
                <w:sz w:val="17"/>
              </w:rPr>
            </w:r>
            <w:r>
              <w:rPr>
                <w:sz w:val="17"/>
              </w:rPr>
              <w:t>2,784</w:t>
            </w:r>
          </w:p>
        </w:tc>
        <w:tc>
          <w:tcPr>
            <w:tcW w:type="dxa" w:w="785"/>
          </w:tcPr>
          <w:p>
            <w:r>
              <w:rPr>
                <w:sz w:val="17"/>
              </w:rPr>
            </w:r>
            <w:r>
              <w:rPr>
                <w:sz w:val="17"/>
              </w:rPr>
              <w:t>3,908</w:t>
            </w:r>
          </w:p>
        </w:tc>
        <w:tc>
          <w:tcPr>
            <w:tcW w:type="dxa" w:w="785"/>
          </w:tcPr>
          <w:p>
            <w:r>
              <w:rPr>
                <w:sz w:val="17"/>
              </w:rPr>
            </w:r>
            <w:r>
              <w:rPr>
                <w:sz w:val="17"/>
              </w:rPr>
              <w:t>5,173</w:t>
            </w:r>
          </w:p>
        </w:tc>
        <w:tc>
          <w:tcPr>
            <w:tcW w:type="dxa" w:w="785"/>
          </w:tcPr>
          <w:p>
            <w:r>
              <w:rPr>
                <w:sz w:val="17"/>
              </w:rPr>
            </w:r>
            <w:r>
              <w:rPr>
                <w:sz w:val="17"/>
              </w:rPr>
              <w:t>6,661</w:t>
            </w:r>
          </w:p>
        </w:tc>
        <w:tc>
          <w:tcPr>
            <w:tcW w:type="dxa" w:w="785"/>
          </w:tcPr>
          <w:p>
            <w:r>
              <w:rPr>
                <w:sz w:val="17"/>
              </w:rPr>
            </w:r>
            <w:r>
              <w:rPr>
                <w:sz w:val="17"/>
              </w:rPr>
              <w:t>8,393</w:t>
            </w:r>
          </w:p>
        </w:tc>
        <w:tc>
          <w:tcPr>
            <w:tcW w:type="dxa" w:w="785"/>
          </w:tcPr>
          <w:p>
            <w:r>
              <w:rPr>
                <w:sz w:val="17"/>
              </w:rPr>
            </w:r>
            <w:r>
              <w:rPr>
                <w:sz w:val="17"/>
              </w:rPr>
              <w:t>10,391</w:t>
            </w:r>
          </w:p>
        </w:tc>
      </w:tr>
      <w:tr>
        <w:tc>
          <w:tcPr>
            <w:tcW w:type="dxa" w:w="785"/>
          </w:tcPr>
          <w:p>
            <w:r>
              <w:rPr>
                <w:sz w:val="17"/>
              </w:rPr>
            </w:r>
            <w:r>
              <w:rPr>
                <w:sz w:val="17"/>
              </w:rPr>
              <w:t>Technology integrations</w:t>
            </w:r>
          </w:p>
        </w:tc>
        <w:tc>
          <w:tcPr>
            <w:tcW w:type="dxa" w:w="785"/>
          </w:tcPr>
          <w:p>
            <w:r>
              <w:rPr>
                <w:sz w:val="17"/>
              </w:rPr>
            </w:r>
            <w:r>
              <w:rPr>
                <w:sz w:val="17"/>
              </w:rPr>
              <w:t>0</w:t>
            </w:r>
          </w:p>
        </w:tc>
        <w:tc>
          <w:tcPr>
            <w:tcW w:type="dxa" w:w="785"/>
          </w:tcPr>
          <w:p>
            <w:r>
              <w:rPr>
                <w:sz w:val="17"/>
              </w:rPr>
            </w:r>
            <w:r>
              <w:rPr>
                <w:sz w:val="17"/>
              </w:rPr>
              <w:t>50</w:t>
            </w:r>
          </w:p>
        </w:tc>
        <w:tc>
          <w:tcPr>
            <w:tcW w:type="dxa" w:w="785"/>
          </w:tcPr>
          <w:p>
            <w:r>
              <w:rPr>
                <w:sz w:val="17"/>
              </w:rPr>
            </w:r>
            <w:r>
              <w:rPr>
                <w:sz w:val="17"/>
              </w:rPr>
              <w:t>180</w:t>
            </w:r>
          </w:p>
        </w:tc>
        <w:tc>
          <w:tcPr>
            <w:tcW w:type="dxa" w:w="785"/>
          </w:tcPr>
          <w:p>
            <w:r>
              <w:rPr>
                <w:sz w:val="17"/>
              </w:rPr>
            </w:r>
            <w:r>
              <w:rPr>
                <w:sz w:val="17"/>
              </w:rPr>
              <w:t>350</w:t>
            </w:r>
          </w:p>
        </w:tc>
        <w:tc>
          <w:tcPr>
            <w:tcW w:type="dxa" w:w="785"/>
          </w:tcPr>
          <w:p>
            <w:r>
              <w:rPr>
                <w:sz w:val="17"/>
              </w:rPr>
            </w:r>
            <w:r>
              <w:rPr>
                <w:sz w:val="17"/>
              </w:rPr>
              <w:t>520</w:t>
            </w:r>
          </w:p>
        </w:tc>
        <w:tc>
          <w:tcPr>
            <w:tcW w:type="dxa" w:w="785"/>
          </w:tcPr>
          <w:p>
            <w:r>
              <w:rPr>
                <w:sz w:val="17"/>
              </w:rPr>
            </w:r>
            <w:r>
              <w:rPr>
                <w:sz w:val="17"/>
              </w:rPr>
              <w:t>650</w:t>
            </w:r>
          </w:p>
        </w:tc>
        <w:tc>
          <w:tcPr>
            <w:tcW w:type="dxa" w:w="785"/>
          </w:tcPr>
          <w:p>
            <w:r>
              <w:rPr>
                <w:sz w:val="17"/>
              </w:rPr>
            </w:r>
            <w:r>
              <w:rPr>
                <w:sz w:val="17"/>
              </w:rPr>
              <w:t>780</w:t>
            </w:r>
          </w:p>
        </w:tc>
        <w:tc>
          <w:tcPr>
            <w:tcW w:type="dxa" w:w="785"/>
          </w:tcPr>
          <w:p>
            <w:r>
              <w:rPr>
                <w:sz w:val="17"/>
              </w:rPr>
            </w:r>
            <w:r>
              <w:rPr>
                <w:sz w:val="17"/>
              </w:rPr>
              <w:t>900</w:t>
            </w:r>
          </w:p>
        </w:tc>
        <w:tc>
          <w:tcPr>
            <w:tcW w:type="dxa" w:w="785"/>
          </w:tcPr>
          <w:p>
            <w:r>
              <w:rPr>
                <w:sz w:val="17"/>
              </w:rPr>
            </w:r>
            <w:r>
              <w:rPr>
                <w:sz w:val="17"/>
              </w:rPr>
              <w:t>1,020</w:t>
            </w:r>
          </w:p>
        </w:tc>
        <w:tc>
          <w:tcPr>
            <w:tcW w:type="dxa" w:w="785"/>
          </w:tcPr>
          <w:p>
            <w:r>
              <w:rPr>
                <w:sz w:val="17"/>
              </w:rPr>
            </w:r>
            <w:r>
              <w:rPr>
                <w:sz w:val="17"/>
              </w:rPr>
              <w:t>1,150</w:t>
            </w:r>
          </w:p>
        </w:tc>
      </w:tr>
      <w:tr>
        <w:tc>
          <w:tcPr>
            <w:tcW w:type="dxa" w:w="785"/>
          </w:tcPr>
          <w:p>
            <w:r>
              <w:rPr>
                <w:sz w:val="17"/>
              </w:rPr>
            </w:r>
            <w:r>
              <w:rPr>
                <w:sz w:val="17"/>
              </w:rPr>
              <w:t>Appraisal and insurance — own margin</w:t>
            </w:r>
          </w:p>
        </w:tc>
        <w:tc>
          <w:tcPr>
            <w:tcW w:type="dxa" w:w="785"/>
          </w:tcPr>
          <w:p>
            <w:r>
              <w:rPr>
                <w:sz w:val="17"/>
              </w:rPr>
            </w:r>
            <w:r>
              <w:rPr>
                <w:sz w:val="17"/>
              </w:rPr>
              <w:t>0</w:t>
            </w:r>
          </w:p>
        </w:tc>
        <w:tc>
          <w:tcPr>
            <w:tcW w:type="dxa" w:w="785"/>
          </w:tcPr>
          <w:p>
            <w:r>
              <w:rPr>
                <w:sz w:val="17"/>
              </w:rPr>
            </w:r>
            <w:r>
              <w:rPr>
                <w:sz w:val="17"/>
              </w:rPr>
              <w:t>135</w:t>
            </w:r>
          </w:p>
        </w:tc>
        <w:tc>
          <w:tcPr>
            <w:tcW w:type="dxa" w:w="785"/>
          </w:tcPr>
          <w:p>
            <w:r>
              <w:rPr>
                <w:sz w:val="17"/>
              </w:rPr>
            </w:r>
            <w:r>
              <w:rPr>
                <w:sz w:val="17"/>
              </w:rPr>
              <w:t>632</w:t>
            </w:r>
          </w:p>
        </w:tc>
        <w:tc>
          <w:tcPr>
            <w:tcW w:type="dxa" w:w="785"/>
          </w:tcPr>
          <w:p>
            <w:r>
              <w:rPr>
                <w:sz w:val="17"/>
              </w:rPr>
            </w:r>
            <w:r>
              <w:rPr>
                <w:sz w:val="17"/>
              </w:rPr>
              <w:t>1,606</w:t>
            </w:r>
          </w:p>
        </w:tc>
        <w:tc>
          <w:tcPr>
            <w:tcW w:type="dxa" w:w="785"/>
          </w:tcPr>
          <w:p>
            <w:r>
              <w:rPr>
                <w:sz w:val="17"/>
              </w:rPr>
            </w:r>
            <w:r>
              <w:rPr>
                <w:sz w:val="17"/>
              </w:rPr>
              <w:t>3,340</w:t>
            </w:r>
          </w:p>
        </w:tc>
        <w:tc>
          <w:tcPr>
            <w:tcW w:type="dxa" w:w="785"/>
          </w:tcPr>
          <w:p>
            <w:r>
              <w:rPr>
                <w:sz w:val="17"/>
              </w:rPr>
            </w:r>
            <w:r>
              <w:rPr>
                <w:sz w:val="17"/>
              </w:rPr>
              <w:t>4,264</w:t>
            </w:r>
          </w:p>
        </w:tc>
        <w:tc>
          <w:tcPr>
            <w:tcW w:type="dxa" w:w="785"/>
          </w:tcPr>
          <w:p>
            <w:r>
              <w:rPr>
                <w:sz w:val="17"/>
              </w:rPr>
            </w:r>
            <w:r>
              <w:rPr>
                <w:sz w:val="17"/>
              </w:rPr>
              <w:t>5,173</w:t>
            </w:r>
          </w:p>
        </w:tc>
        <w:tc>
          <w:tcPr>
            <w:tcW w:type="dxa" w:w="785"/>
          </w:tcPr>
          <w:p>
            <w:r>
              <w:rPr>
                <w:sz w:val="17"/>
              </w:rPr>
            </w:r>
            <w:r>
              <w:rPr>
                <w:sz w:val="17"/>
              </w:rPr>
              <w:t>6,149</w:t>
            </w:r>
          </w:p>
        </w:tc>
        <w:tc>
          <w:tcPr>
            <w:tcW w:type="dxa" w:w="785"/>
          </w:tcPr>
          <w:p>
            <w:r>
              <w:rPr>
                <w:sz w:val="17"/>
              </w:rPr>
            </w:r>
            <w:r>
              <w:rPr>
                <w:sz w:val="17"/>
              </w:rPr>
              <w:t>7,194</w:t>
            </w:r>
          </w:p>
        </w:tc>
        <w:tc>
          <w:tcPr>
            <w:tcW w:type="dxa" w:w="785"/>
          </w:tcPr>
          <w:p>
            <w:r>
              <w:rPr>
                <w:sz w:val="17"/>
              </w:rPr>
            </w:r>
            <w:r>
              <w:rPr>
                <w:sz w:val="17"/>
              </w:rPr>
              <w:t>8,313</w:t>
            </w:r>
          </w:p>
        </w:tc>
      </w:tr>
      <w:tr>
        <w:tc>
          <w:tcPr>
            <w:tcW w:type="dxa" w:w="785"/>
          </w:tcPr>
          <w:p>
            <w:r>
              <w:rPr>
                <w:sz w:val="17"/>
              </w:rPr>
            </w:r>
            <w:r>
              <w:rPr>
                <w:b/>
                <w:sz w:val="17"/>
              </w:rPr>
              <w:t>TOTAL revenue</w:t>
            </w:r>
          </w:p>
        </w:tc>
        <w:tc>
          <w:tcPr>
            <w:tcW w:type="dxa" w:w="785"/>
          </w:tcPr>
          <w:p>
            <w:r>
              <w:rPr>
                <w:sz w:val="17"/>
              </w:rPr>
            </w:r>
            <w:r>
              <w:rPr>
                <w:sz w:val="17"/>
              </w:rPr>
              <w:t>0</w:t>
            </w:r>
          </w:p>
        </w:tc>
        <w:tc>
          <w:tcPr>
            <w:tcW w:type="dxa" w:w="785"/>
          </w:tcPr>
          <w:p>
            <w:r>
              <w:rPr>
                <w:sz w:val="17"/>
              </w:rPr>
            </w:r>
            <w:r>
              <w:rPr>
                <w:sz w:val="17"/>
              </w:rPr>
              <w:t>1,310</w:t>
            </w:r>
          </w:p>
        </w:tc>
        <w:tc>
          <w:tcPr>
            <w:tcW w:type="dxa" w:w="785"/>
          </w:tcPr>
          <w:p>
            <w:r>
              <w:rPr>
                <w:sz w:val="17"/>
              </w:rPr>
            </w:r>
            <w:r>
              <w:rPr>
                <w:sz w:val="17"/>
              </w:rPr>
              <w:t>6,519</w:t>
            </w:r>
          </w:p>
        </w:tc>
        <w:tc>
          <w:tcPr>
            <w:tcW w:type="dxa" w:w="785"/>
          </w:tcPr>
          <w:p>
            <w:r>
              <w:rPr>
                <w:sz w:val="17"/>
              </w:rPr>
            </w:r>
            <w:r>
              <w:rPr>
                <w:sz w:val="17"/>
              </w:rPr>
              <w:t>17,791</w:t>
            </w:r>
          </w:p>
        </w:tc>
        <w:tc>
          <w:tcPr>
            <w:tcW w:type="dxa" w:w="785"/>
          </w:tcPr>
          <w:p>
            <w:r>
              <w:rPr>
                <w:sz w:val="17"/>
              </w:rPr>
            </w:r>
            <w:r>
              <w:rPr>
                <w:sz w:val="17"/>
              </w:rPr>
              <w:t>39,021</w:t>
            </w:r>
          </w:p>
        </w:tc>
        <w:tc>
          <w:tcPr>
            <w:tcW w:type="dxa" w:w="785"/>
          </w:tcPr>
          <w:p>
            <w:r>
              <w:rPr>
                <w:sz w:val="17"/>
              </w:rPr>
            </w:r>
            <w:r>
              <w:rPr>
                <w:sz w:val="17"/>
              </w:rPr>
              <w:t>56,858</w:t>
            </w:r>
          </w:p>
        </w:tc>
        <w:tc>
          <w:tcPr>
            <w:tcW w:type="dxa" w:w="785"/>
          </w:tcPr>
          <w:p>
            <w:r>
              <w:rPr>
                <w:sz w:val="17"/>
              </w:rPr>
            </w:r>
            <w:r>
              <w:rPr>
                <w:sz w:val="17"/>
              </w:rPr>
              <w:t>76,685</w:t>
            </w:r>
          </w:p>
        </w:tc>
        <w:tc>
          <w:tcPr>
            <w:tcW w:type="dxa" w:w="785"/>
          </w:tcPr>
          <w:p>
            <w:r>
              <w:rPr>
                <w:sz w:val="17"/>
              </w:rPr>
            </w:r>
            <w:r>
              <w:rPr>
                <w:sz w:val="17"/>
              </w:rPr>
              <w:t>98,345</w:t>
            </w:r>
          </w:p>
        </w:tc>
        <w:tc>
          <w:tcPr>
            <w:tcW w:type="dxa" w:w="785"/>
          </w:tcPr>
          <w:p>
            <w:r>
              <w:rPr>
                <w:sz w:val="17"/>
              </w:rPr>
            </w:r>
            <w:r>
              <w:rPr>
                <w:sz w:val="17"/>
              </w:rPr>
              <w:t>120,874</w:t>
            </w:r>
          </w:p>
        </w:tc>
        <w:tc>
          <w:tcPr>
            <w:tcW w:type="dxa" w:w="785"/>
          </w:tcPr>
          <w:p>
            <w:r>
              <w:rPr>
                <w:sz w:val="17"/>
              </w:rPr>
            </w:r>
            <w:r>
              <w:rPr>
                <w:sz w:val="17"/>
              </w:rPr>
              <w:t>142,615</w:t>
            </w:r>
          </w:p>
        </w:tc>
      </w:tr>
    </w:tbl>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Memorandum</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Memorandum: gross billings</w:t>
            </w:r>
          </w:p>
        </w:tc>
        <w:tc>
          <w:tcPr>
            <w:tcW w:type="dxa" w:w="785"/>
          </w:tcPr>
          <w:p>
            <w:r>
              <w:rPr>
                <w:sz w:val="17"/>
              </w:rPr>
            </w:r>
            <w:r>
              <w:rPr>
                <w:sz w:val="17"/>
              </w:rPr>
              <w:t>0</w:t>
            </w:r>
          </w:p>
        </w:tc>
        <w:tc>
          <w:tcPr>
            <w:tcW w:type="dxa" w:w="785"/>
          </w:tcPr>
          <w:p>
            <w:r>
              <w:rPr>
                <w:sz w:val="17"/>
              </w:rPr>
            </w:r>
            <w:r>
              <w:rPr>
                <w:sz w:val="17"/>
              </w:rPr>
              <w:t>2,075</w:t>
            </w:r>
          </w:p>
        </w:tc>
        <w:tc>
          <w:tcPr>
            <w:tcW w:type="dxa" w:w="785"/>
          </w:tcPr>
          <w:p>
            <w:r>
              <w:rPr>
                <w:sz w:val="17"/>
              </w:rPr>
            </w:r>
            <w:r>
              <w:rPr>
                <w:sz w:val="17"/>
              </w:rPr>
              <w:t>10,099</w:t>
            </w:r>
          </w:p>
        </w:tc>
        <w:tc>
          <w:tcPr>
            <w:tcW w:type="dxa" w:w="785"/>
          </w:tcPr>
          <w:p>
            <w:r>
              <w:rPr>
                <w:sz w:val="17"/>
              </w:rPr>
            </w:r>
            <w:r>
              <w:rPr>
                <w:sz w:val="17"/>
              </w:rPr>
              <w:t>26,892</w:t>
            </w:r>
          </w:p>
        </w:tc>
        <w:tc>
          <w:tcPr>
            <w:tcW w:type="dxa" w:w="785"/>
          </w:tcPr>
          <w:p>
            <w:r>
              <w:rPr>
                <w:sz w:val="17"/>
              </w:rPr>
            </w:r>
            <w:r>
              <w:rPr>
                <w:sz w:val="17"/>
              </w:rPr>
              <w:t>57,950</w:t>
            </w:r>
          </w:p>
        </w:tc>
        <w:tc>
          <w:tcPr>
            <w:tcW w:type="dxa" w:w="785"/>
          </w:tcPr>
          <w:p>
            <w:r>
              <w:rPr>
                <w:sz w:val="17"/>
              </w:rPr>
            </w:r>
            <w:r>
              <w:rPr>
                <w:sz w:val="17"/>
              </w:rPr>
              <w:t>81,019</w:t>
            </w:r>
          </w:p>
        </w:tc>
        <w:tc>
          <w:tcPr>
            <w:tcW w:type="dxa" w:w="785"/>
          </w:tcPr>
          <w:p>
            <w:r>
              <w:rPr>
                <w:sz w:val="17"/>
              </w:rPr>
            </w:r>
            <w:r>
              <w:rPr>
                <w:sz w:val="17"/>
              </w:rPr>
              <w:t>106,000</w:t>
            </w:r>
          </w:p>
        </w:tc>
        <w:tc>
          <w:tcPr>
            <w:tcW w:type="dxa" w:w="785"/>
          </w:tcPr>
          <w:p>
            <w:r>
              <w:rPr>
                <w:sz w:val="17"/>
              </w:rPr>
            </w:r>
            <w:r>
              <w:rPr>
                <w:sz w:val="17"/>
              </w:rPr>
              <w:t>133,188</w:t>
            </w:r>
          </w:p>
        </w:tc>
        <w:tc>
          <w:tcPr>
            <w:tcW w:type="dxa" w:w="785"/>
          </w:tcPr>
          <w:p>
            <w:r>
              <w:rPr>
                <w:sz w:val="17"/>
              </w:rPr>
            </w:r>
            <w:r>
              <w:rPr>
                <w:sz w:val="17"/>
              </w:rPr>
              <w:t>161,640</w:t>
            </w:r>
          </w:p>
        </w:tc>
        <w:tc>
          <w:tcPr>
            <w:tcW w:type="dxa" w:w="785"/>
          </w:tcPr>
          <w:p>
            <w:r>
              <w:rPr>
                <w:sz w:val="17"/>
              </w:rPr>
            </w:r>
            <w:r>
              <w:rPr>
                <w:sz w:val="17"/>
              </w:rPr>
              <w:t>189,722</w:t>
            </w:r>
          </w:p>
        </w:tc>
      </w:tr>
    </w:tbl>
    <w:p/>
    <w:p>
      <w:pPr>
        <w:jc w:val="both"/>
      </w:pPr>
      <w:r>
        <w:t>Gross billings are the entire amount passing through the platform, including offsetting payments to appraisers and insurers. The difference between gross billings and revenue is third-party money; presenting it as platform revenue is incorrect.</w:t>
      </w:r>
    </w:p>
    <w:p>
      <w:pPr>
        <w:pStyle w:val="Heading2"/>
      </w:pPr>
      <w:r>
        <w:t>Sheet 3. Profit and loss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Parameter</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Revenue</w:t>
            </w:r>
          </w:p>
        </w:tc>
        <w:tc>
          <w:tcPr>
            <w:tcW w:type="dxa" w:w="785"/>
          </w:tcPr>
          <w:p>
            <w:r>
              <w:rPr>
                <w:sz w:val="17"/>
              </w:rPr>
            </w:r>
            <w:r>
              <w:rPr>
                <w:sz w:val="17"/>
              </w:rPr>
              <w:t>0</w:t>
            </w:r>
          </w:p>
        </w:tc>
        <w:tc>
          <w:tcPr>
            <w:tcW w:type="dxa" w:w="785"/>
          </w:tcPr>
          <w:p>
            <w:r>
              <w:rPr>
                <w:sz w:val="17"/>
              </w:rPr>
            </w:r>
            <w:r>
              <w:rPr>
                <w:sz w:val="17"/>
              </w:rPr>
              <w:t>1,310</w:t>
            </w:r>
          </w:p>
        </w:tc>
        <w:tc>
          <w:tcPr>
            <w:tcW w:type="dxa" w:w="785"/>
          </w:tcPr>
          <w:p>
            <w:r>
              <w:rPr>
                <w:sz w:val="17"/>
              </w:rPr>
            </w:r>
            <w:r>
              <w:rPr>
                <w:sz w:val="17"/>
              </w:rPr>
              <w:t>6,519</w:t>
            </w:r>
          </w:p>
        </w:tc>
        <w:tc>
          <w:tcPr>
            <w:tcW w:type="dxa" w:w="785"/>
          </w:tcPr>
          <w:p>
            <w:r>
              <w:rPr>
                <w:sz w:val="17"/>
              </w:rPr>
            </w:r>
            <w:r>
              <w:rPr>
                <w:sz w:val="17"/>
              </w:rPr>
              <w:t>17,791</w:t>
            </w:r>
          </w:p>
        </w:tc>
        <w:tc>
          <w:tcPr>
            <w:tcW w:type="dxa" w:w="785"/>
          </w:tcPr>
          <w:p>
            <w:r>
              <w:rPr>
                <w:sz w:val="17"/>
              </w:rPr>
            </w:r>
            <w:r>
              <w:rPr>
                <w:sz w:val="17"/>
              </w:rPr>
              <w:t>39,021</w:t>
            </w:r>
          </w:p>
        </w:tc>
        <w:tc>
          <w:tcPr>
            <w:tcW w:type="dxa" w:w="785"/>
          </w:tcPr>
          <w:p>
            <w:r>
              <w:rPr>
                <w:sz w:val="17"/>
              </w:rPr>
            </w:r>
            <w:r>
              <w:rPr>
                <w:sz w:val="17"/>
              </w:rPr>
              <w:t>56,858</w:t>
            </w:r>
          </w:p>
        </w:tc>
        <w:tc>
          <w:tcPr>
            <w:tcW w:type="dxa" w:w="785"/>
          </w:tcPr>
          <w:p>
            <w:r>
              <w:rPr>
                <w:sz w:val="17"/>
              </w:rPr>
            </w:r>
            <w:r>
              <w:rPr>
                <w:sz w:val="17"/>
              </w:rPr>
              <w:t>76,685</w:t>
            </w:r>
          </w:p>
        </w:tc>
        <w:tc>
          <w:tcPr>
            <w:tcW w:type="dxa" w:w="785"/>
          </w:tcPr>
          <w:p>
            <w:r>
              <w:rPr>
                <w:sz w:val="17"/>
              </w:rPr>
            </w:r>
            <w:r>
              <w:rPr>
                <w:sz w:val="17"/>
              </w:rPr>
              <w:t>98,345</w:t>
            </w:r>
          </w:p>
        </w:tc>
        <w:tc>
          <w:tcPr>
            <w:tcW w:type="dxa" w:w="785"/>
          </w:tcPr>
          <w:p>
            <w:r>
              <w:rPr>
                <w:sz w:val="17"/>
              </w:rPr>
            </w:r>
            <w:r>
              <w:rPr>
                <w:sz w:val="17"/>
              </w:rPr>
              <w:t>120,874</w:t>
            </w:r>
          </w:p>
        </w:tc>
        <w:tc>
          <w:tcPr>
            <w:tcW w:type="dxa" w:w="785"/>
          </w:tcPr>
          <w:p>
            <w:r>
              <w:rPr>
                <w:sz w:val="17"/>
              </w:rPr>
            </w:r>
            <w:r>
              <w:rPr>
                <w:sz w:val="17"/>
              </w:rPr>
              <w:t>142,615</w:t>
            </w:r>
          </w:p>
        </w:tc>
      </w:tr>
      <w:tr>
        <w:tc>
          <w:tcPr>
            <w:tcW w:type="dxa" w:w="785"/>
          </w:tcPr>
          <w:p>
            <w:r>
              <w:rPr>
                <w:sz w:val="17"/>
              </w:rPr>
            </w:r>
            <w:r>
              <w:rPr>
                <w:sz w:val="17"/>
              </w:rPr>
              <w:t>Payroll incl. contributions</w:t>
            </w:r>
          </w:p>
        </w:tc>
        <w:tc>
          <w:tcPr>
            <w:tcW w:type="dxa" w:w="785"/>
          </w:tcPr>
          <w:p>
            <w:r>
              <w:rPr>
                <w:sz w:val="17"/>
              </w:rPr>
            </w:r>
            <w:r>
              <w:rPr>
                <w:sz w:val="17"/>
              </w:rPr>
              <w:t>−218</w:t>
            </w:r>
          </w:p>
        </w:tc>
        <w:tc>
          <w:tcPr>
            <w:tcW w:type="dxa" w:w="785"/>
          </w:tcPr>
          <w:p>
            <w:r>
              <w:rPr>
                <w:sz w:val="17"/>
              </w:rPr>
            </w:r>
            <w:r>
              <w:rPr>
                <w:sz w:val="17"/>
              </w:rPr>
              <w:t>−695</w:t>
            </w:r>
          </w:p>
        </w:tc>
        <w:tc>
          <w:tcPr>
            <w:tcW w:type="dxa" w:w="785"/>
          </w:tcPr>
          <w:p>
            <w:r>
              <w:rPr>
                <w:sz w:val="17"/>
              </w:rPr>
            </w:r>
            <w:r>
              <w:rPr>
                <w:sz w:val="17"/>
              </w:rPr>
              <w:t>−982</w:t>
            </w:r>
          </w:p>
        </w:tc>
        <w:tc>
          <w:tcPr>
            <w:tcW w:type="dxa" w:w="785"/>
          </w:tcPr>
          <w:p>
            <w:r>
              <w:rPr>
                <w:sz w:val="17"/>
              </w:rPr>
            </w:r>
            <w:r>
              <w:rPr>
                <w:sz w:val="17"/>
              </w:rPr>
              <w:t>−1,301</w:t>
            </w:r>
          </w:p>
        </w:tc>
        <w:tc>
          <w:tcPr>
            <w:tcW w:type="dxa" w:w="785"/>
          </w:tcPr>
          <w:p>
            <w:r>
              <w:rPr>
                <w:sz w:val="17"/>
              </w:rPr>
            </w:r>
            <w:r>
              <w:rPr>
                <w:sz w:val="17"/>
              </w:rPr>
              <w:t>−1,654</w:t>
            </w:r>
          </w:p>
        </w:tc>
        <w:tc>
          <w:tcPr>
            <w:tcW w:type="dxa" w:w="785"/>
          </w:tcPr>
          <w:p>
            <w:r>
              <w:rPr>
                <w:sz w:val="17"/>
              </w:rPr>
            </w:r>
            <w:r>
              <w:rPr>
                <w:sz w:val="17"/>
              </w:rPr>
              <w:t>−1,973</w:t>
            </w:r>
          </w:p>
        </w:tc>
        <w:tc>
          <w:tcPr>
            <w:tcW w:type="dxa" w:w="785"/>
          </w:tcPr>
          <w:p>
            <w:r>
              <w:rPr>
                <w:sz w:val="17"/>
              </w:rPr>
            </w:r>
            <w:r>
              <w:rPr>
                <w:sz w:val="17"/>
              </w:rPr>
              <w:t>−2,324</w:t>
            </w:r>
          </w:p>
        </w:tc>
        <w:tc>
          <w:tcPr>
            <w:tcW w:type="dxa" w:w="785"/>
          </w:tcPr>
          <w:p>
            <w:r>
              <w:rPr>
                <w:sz w:val="17"/>
              </w:rPr>
            </w:r>
            <w:r>
              <w:rPr>
                <w:sz w:val="17"/>
              </w:rPr>
              <w:t>−2,709</w:t>
            </w:r>
          </w:p>
        </w:tc>
        <w:tc>
          <w:tcPr>
            <w:tcW w:type="dxa" w:w="785"/>
          </w:tcPr>
          <w:p>
            <w:r>
              <w:rPr>
                <w:sz w:val="17"/>
              </w:rPr>
            </w:r>
            <w:r>
              <w:rPr>
                <w:sz w:val="17"/>
              </w:rPr>
              <w:t>−3,046</w:t>
            </w:r>
          </w:p>
        </w:tc>
        <w:tc>
          <w:tcPr>
            <w:tcW w:type="dxa" w:w="785"/>
          </w:tcPr>
          <w:p>
            <w:r>
              <w:rPr>
                <w:sz w:val="17"/>
              </w:rPr>
            </w:r>
            <w:r>
              <w:rPr>
                <w:sz w:val="17"/>
              </w:rPr>
              <w:t>−3,413</w:t>
            </w:r>
          </w:p>
        </w:tc>
      </w:tr>
      <w:tr>
        <w:tc>
          <w:tcPr>
            <w:tcW w:type="dxa" w:w="785"/>
          </w:tcPr>
          <w:p>
            <w:r>
              <w:rPr>
                <w:sz w:val="17"/>
              </w:rPr>
            </w:r>
            <w:r>
              <w:rPr>
                <w:sz w:val="17"/>
              </w:rPr>
              <w:t>Other operating costs</w:t>
            </w:r>
          </w:p>
        </w:tc>
        <w:tc>
          <w:tcPr>
            <w:tcW w:type="dxa" w:w="785"/>
          </w:tcPr>
          <w:p>
            <w:r>
              <w:rPr>
                <w:sz w:val="17"/>
              </w:rPr>
            </w:r>
            <w:r>
              <w:rPr>
                <w:sz w:val="17"/>
              </w:rPr>
              <w:t>−502</w:t>
            </w:r>
          </w:p>
        </w:tc>
        <w:tc>
          <w:tcPr>
            <w:tcW w:type="dxa" w:w="785"/>
          </w:tcPr>
          <w:p>
            <w:r>
              <w:rPr>
                <w:sz w:val="17"/>
              </w:rPr>
            </w:r>
            <w:r>
              <w:rPr>
                <w:sz w:val="17"/>
              </w:rPr>
              <w:t>−810</w:t>
            </w:r>
          </w:p>
        </w:tc>
        <w:tc>
          <w:tcPr>
            <w:tcW w:type="dxa" w:w="785"/>
          </w:tcPr>
          <w:p>
            <w:r>
              <w:rPr>
                <w:sz w:val="17"/>
              </w:rPr>
            </w:r>
            <w:r>
              <w:rPr>
                <w:sz w:val="17"/>
              </w:rPr>
              <w:t>−1,977</w:t>
            </w:r>
          </w:p>
        </w:tc>
        <w:tc>
          <w:tcPr>
            <w:tcW w:type="dxa" w:w="785"/>
          </w:tcPr>
          <w:p>
            <w:r>
              <w:rPr>
                <w:sz w:val="17"/>
              </w:rPr>
            </w:r>
            <w:r>
              <w:rPr>
                <w:sz w:val="17"/>
              </w:rPr>
              <w:t>−4,479</w:t>
            </w:r>
          </w:p>
        </w:tc>
        <w:tc>
          <w:tcPr>
            <w:tcW w:type="dxa" w:w="785"/>
          </w:tcPr>
          <w:p>
            <w:r>
              <w:rPr>
                <w:sz w:val="17"/>
              </w:rPr>
            </w:r>
            <w:r>
              <w:rPr>
                <w:sz w:val="17"/>
              </w:rPr>
              <w:t>−9,172</w:t>
            </w:r>
          </w:p>
        </w:tc>
        <w:tc>
          <w:tcPr>
            <w:tcW w:type="dxa" w:w="785"/>
          </w:tcPr>
          <w:p>
            <w:r>
              <w:rPr>
                <w:sz w:val="17"/>
              </w:rPr>
            </w:r>
            <w:r>
              <w:rPr>
                <w:sz w:val="17"/>
              </w:rPr>
              <w:t>−13,120</w:t>
            </w:r>
          </w:p>
        </w:tc>
        <w:tc>
          <w:tcPr>
            <w:tcW w:type="dxa" w:w="785"/>
          </w:tcPr>
          <w:p>
            <w:r>
              <w:rPr>
                <w:sz w:val="17"/>
              </w:rPr>
            </w:r>
            <w:r>
              <w:rPr>
                <w:sz w:val="17"/>
              </w:rPr>
              <w:t>−17,506</w:t>
            </w:r>
          </w:p>
        </w:tc>
        <w:tc>
          <w:tcPr>
            <w:tcW w:type="dxa" w:w="785"/>
          </w:tcPr>
          <w:p>
            <w:r>
              <w:rPr>
                <w:sz w:val="17"/>
              </w:rPr>
            </w:r>
            <w:r>
              <w:rPr>
                <w:sz w:val="17"/>
              </w:rPr>
              <w:t>−22,297</w:t>
            </w:r>
          </w:p>
        </w:tc>
        <w:tc>
          <w:tcPr>
            <w:tcW w:type="dxa" w:w="785"/>
          </w:tcPr>
          <w:p>
            <w:r>
              <w:rPr>
                <w:sz w:val="17"/>
              </w:rPr>
            </w:r>
            <w:r>
              <w:rPr>
                <w:sz w:val="17"/>
              </w:rPr>
              <w:t>−27,279</w:t>
            </w:r>
          </w:p>
        </w:tc>
        <w:tc>
          <w:tcPr>
            <w:tcW w:type="dxa" w:w="785"/>
          </w:tcPr>
          <w:p>
            <w:r>
              <w:rPr>
                <w:sz w:val="17"/>
              </w:rPr>
            </w:r>
            <w:r>
              <w:rPr>
                <w:sz w:val="17"/>
              </w:rPr>
              <w:t>−32,090</w:t>
            </w:r>
          </w:p>
        </w:tc>
      </w:tr>
      <w:tr>
        <w:tc>
          <w:tcPr>
            <w:tcW w:type="dxa" w:w="785"/>
          </w:tcPr>
          <w:p>
            <w:r>
              <w:rPr>
                <w:sz w:val="17"/>
              </w:rPr>
            </w:r>
            <w:r>
              <w:rPr>
                <w:b/>
                <w:sz w:val="17"/>
              </w:rPr>
              <w:t>Total operating expenses</w:t>
            </w:r>
          </w:p>
        </w:tc>
        <w:tc>
          <w:tcPr>
            <w:tcW w:type="dxa" w:w="785"/>
          </w:tcPr>
          <w:p>
            <w:r>
              <w:rPr>
                <w:sz w:val="17"/>
              </w:rPr>
            </w:r>
            <w:r>
              <w:rPr>
                <w:sz w:val="17"/>
              </w:rPr>
              <w:t>−720</w:t>
            </w:r>
          </w:p>
        </w:tc>
        <w:tc>
          <w:tcPr>
            <w:tcW w:type="dxa" w:w="785"/>
          </w:tcPr>
          <w:p>
            <w:r>
              <w:rPr>
                <w:sz w:val="17"/>
              </w:rPr>
            </w:r>
            <w:r>
              <w:rPr>
                <w:sz w:val="17"/>
              </w:rPr>
              <w:t>−1,505</w:t>
            </w:r>
          </w:p>
        </w:tc>
        <w:tc>
          <w:tcPr>
            <w:tcW w:type="dxa" w:w="785"/>
          </w:tcPr>
          <w:p>
            <w:r>
              <w:rPr>
                <w:sz w:val="17"/>
              </w:rPr>
            </w:r>
            <w:r>
              <w:rPr>
                <w:sz w:val="17"/>
              </w:rPr>
              <w:t>−2,959</w:t>
            </w:r>
          </w:p>
        </w:tc>
        <w:tc>
          <w:tcPr>
            <w:tcW w:type="dxa" w:w="785"/>
          </w:tcPr>
          <w:p>
            <w:r>
              <w:rPr>
                <w:sz w:val="17"/>
              </w:rPr>
            </w:r>
            <w:r>
              <w:rPr>
                <w:sz w:val="17"/>
              </w:rPr>
              <w:t>−5,779</w:t>
            </w:r>
          </w:p>
        </w:tc>
        <w:tc>
          <w:tcPr>
            <w:tcW w:type="dxa" w:w="785"/>
          </w:tcPr>
          <w:p>
            <w:r>
              <w:rPr>
                <w:sz w:val="17"/>
              </w:rPr>
            </w:r>
            <w:r>
              <w:rPr>
                <w:sz w:val="17"/>
              </w:rPr>
              <w:t>−10,826</w:t>
            </w:r>
          </w:p>
        </w:tc>
        <w:tc>
          <w:tcPr>
            <w:tcW w:type="dxa" w:w="785"/>
          </w:tcPr>
          <w:p>
            <w:r>
              <w:rPr>
                <w:sz w:val="17"/>
              </w:rPr>
            </w:r>
            <w:r>
              <w:rPr>
                <w:sz w:val="17"/>
              </w:rPr>
              <w:t>−15,092</w:t>
            </w:r>
          </w:p>
        </w:tc>
        <w:tc>
          <w:tcPr>
            <w:tcW w:type="dxa" w:w="785"/>
          </w:tcPr>
          <w:p>
            <w:r>
              <w:rPr>
                <w:sz w:val="17"/>
              </w:rPr>
            </w:r>
            <w:r>
              <w:rPr>
                <w:sz w:val="17"/>
              </w:rPr>
              <w:t>−19,829</w:t>
            </w:r>
          </w:p>
        </w:tc>
        <w:tc>
          <w:tcPr>
            <w:tcW w:type="dxa" w:w="785"/>
          </w:tcPr>
          <w:p>
            <w:r>
              <w:rPr>
                <w:sz w:val="17"/>
              </w:rPr>
            </w:r>
            <w:r>
              <w:rPr>
                <w:sz w:val="17"/>
              </w:rPr>
              <w:t>−25,006</w:t>
            </w:r>
          </w:p>
        </w:tc>
        <w:tc>
          <w:tcPr>
            <w:tcW w:type="dxa" w:w="785"/>
          </w:tcPr>
          <w:p>
            <w:r>
              <w:rPr>
                <w:sz w:val="17"/>
              </w:rPr>
            </w:r>
            <w:r>
              <w:rPr>
                <w:sz w:val="17"/>
              </w:rPr>
              <w:t>−30,325</w:t>
            </w:r>
          </w:p>
        </w:tc>
        <w:tc>
          <w:tcPr>
            <w:tcW w:type="dxa" w:w="785"/>
          </w:tcPr>
          <w:p>
            <w:r>
              <w:rPr>
                <w:sz w:val="17"/>
              </w:rPr>
            </w:r>
            <w:r>
              <w:rPr>
                <w:sz w:val="17"/>
              </w:rPr>
              <w:t>−35,503</w:t>
            </w:r>
          </w:p>
        </w:tc>
      </w:tr>
      <w:tr>
        <w:tc>
          <w:tcPr>
            <w:tcW w:type="dxa" w:w="785"/>
          </w:tcPr>
          <w:p>
            <w:r>
              <w:rPr>
                <w:sz w:val="17"/>
              </w:rPr>
            </w:r>
            <w:r>
              <w:rPr>
                <w:b/>
                <w:sz w:val="17"/>
              </w:rPr>
              <w:t>EBITDA</w:t>
            </w:r>
          </w:p>
        </w:tc>
        <w:tc>
          <w:tcPr>
            <w:tcW w:type="dxa" w:w="785"/>
          </w:tcPr>
          <w:p>
            <w:r>
              <w:rPr>
                <w:sz w:val="17"/>
              </w:rPr>
            </w:r>
            <w:r>
              <w:rPr>
                <w:sz w:val="17"/>
              </w:rPr>
              <w:t>−720</w:t>
            </w:r>
          </w:p>
        </w:tc>
        <w:tc>
          <w:tcPr>
            <w:tcW w:type="dxa" w:w="785"/>
          </w:tcPr>
          <w:p>
            <w:r>
              <w:rPr>
                <w:sz w:val="17"/>
              </w:rPr>
            </w:r>
            <w:r>
              <w:rPr>
                <w:sz w:val="17"/>
              </w:rPr>
              <w:t>−195</w:t>
            </w:r>
          </w:p>
        </w:tc>
        <w:tc>
          <w:tcPr>
            <w:tcW w:type="dxa" w:w="785"/>
          </w:tcPr>
          <w:p>
            <w:r>
              <w:rPr>
                <w:sz w:val="17"/>
              </w:rPr>
            </w:r>
            <w:r>
              <w:rPr>
                <w:sz w:val="17"/>
              </w:rPr>
              <w:t>3,560</w:t>
            </w:r>
          </w:p>
        </w:tc>
        <w:tc>
          <w:tcPr>
            <w:tcW w:type="dxa" w:w="785"/>
          </w:tcPr>
          <w:p>
            <w:r>
              <w:rPr>
                <w:sz w:val="17"/>
              </w:rPr>
            </w:r>
            <w:r>
              <w:rPr>
                <w:sz w:val="17"/>
              </w:rPr>
              <w:t>12,012</w:t>
            </w:r>
          </w:p>
        </w:tc>
        <w:tc>
          <w:tcPr>
            <w:tcW w:type="dxa" w:w="785"/>
          </w:tcPr>
          <w:p>
            <w:r>
              <w:rPr>
                <w:sz w:val="17"/>
              </w:rPr>
            </w:r>
            <w:r>
              <w:rPr>
                <w:sz w:val="17"/>
              </w:rPr>
              <w:t>28,195</w:t>
            </w:r>
          </w:p>
        </w:tc>
        <w:tc>
          <w:tcPr>
            <w:tcW w:type="dxa" w:w="785"/>
          </w:tcPr>
          <w:p>
            <w:r>
              <w:rPr>
                <w:sz w:val="17"/>
              </w:rPr>
            </w:r>
            <w:r>
              <w:rPr>
                <w:sz w:val="17"/>
              </w:rPr>
              <w:t>41,766</w:t>
            </w:r>
          </w:p>
        </w:tc>
        <w:tc>
          <w:tcPr>
            <w:tcW w:type="dxa" w:w="785"/>
          </w:tcPr>
          <w:p>
            <w:r>
              <w:rPr>
                <w:sz w:val="17"/>
              </w:rPr>
            </w:r>
            <w:r>
              <w:rPr>
                <w:sz w:val="17"/>
              </w:rPr>
              <w:t>56,856</w:t>
            </w:r>
          </w:p>
        </w:tc>
        <w:tc>
          <w:tcPr>
            <w:tcW w:type="dxa" w:w="785"/>
          </w:tcPr>
          <w:p>
            <w:r>
              <w:rPr>
                <w:sz w:val="17"/>
              </w:rPr>
            </w:r>
            <w:r>
              <w:rPr>
                <w:sz w:val="17"/>
              </w:rPr>
              <w:t>73,339</w:t>
            </w:r>
          </w:p>
        </w:tc>
        <w:tc>
          <w:tcPr>
            <w:tcW w:type="dxa" w:w="785"/>
          </w:tcPr>
          <w:p>
            <w:r>
              <w:rPr>
                <w:sz w:val="17"/>
              </w:rPr>
            </w:r>
            <w:r>
              <w:rPr>
                <w:sz w:val="17"/>
              </w:rPr>
              <w:t>90,549</w:t>
            </w:r>
          </w:p>
        </w:tc>
        <w:tc>
          <w:tcPr>
            <w:tcW w:type="dxa" w:w="785"/>
          </w:tcPr>
          <w:p>
            <w:r>
              <w:rPr>
                <w:sz w:val="17"/>
              </w:rPr>
            </w:r>
            <w:r>
              <w:rPr>
                <w:sz w:val="17"/>
              </w:rPr>
              <w:t>107,112</w:t>
            </w:r>
          </w:p>
        </w:tc>
      </w:tr>
      <w:tr>
        <w:tc>
          <w:tcPr>
            <w:tcW w:type="dxa" w:w="785"/>
          </w:tcPr>
          <w:p>
            <w:r>
              <w:rPr>
                <w:sz w:val="17"/>
              </w:rPr>
            </w:r>
            <w:r>
              <w:rPr>
                <w:sz w:val="17"/>
              </w:rPr>
              <w:t>EBITDA margin, %</w:t>
            </w:r>
          </w:p>
        </w:tc>
        <w:tc>
          <w:tcPr>
            <w:tcW w:type="dxa" w:w="785"/>
          </w:tcPr>
          <w:p>
            <w:r>
              <w:rPr>
                <w:sz w:val="17"/>
              </w:rPr>
            </w:r>
            <w:r>
              <w:rPr>
                <w:sz w:val="17"/>
              </w:rPr>
              <w:t>—</w:t>
            </w:r>
          </w:p>
        </w:tc>
        <w:tc>
          <w:tcPr>
            <w:tcW w:type="dxa" w:w="785"/>
          </w:tcPr>
          <w:p>
            <w:r>
              <w:rPr>
                <w:sz w:val="17"/>
              </w:rPr>
            </w:r>
            <w:r>
              <w:rPr>
                <w:sz w:val="17"/>
              </w:rPr>
              <w:t>-14.9</w:t>
            </w:r>
          </w:p>
        </w:tc>
        <w:tc>
          <w:tcPr>
            <w:tcW w:type="dxa" w:w="785"/>
          </w:tcPr>
          <w:p>
            <w:r>
              <w:rPr>
                <w:sz w:val="17"/>
              </w:rPr>
            </w:r>
            <w:r>
              <w:rPr>
                <w:sz w:val="17"/>
              </w:rPr>
              <w:t>54.6</w:t>
            </w:r>
          </w:p>
        </w:tc>
        <w:tc>
          <w:tcPr>
            <w:tcW w:type="dxa" w:w="785"/>
          </w:tcPr>
          <w:p>
            <w:r>
              <w:rPr>
                <w:sz w:val="17"/>
              </w:rPr>
            </w:r>
            <w:r>
              <w:rPr>
                <w:sz w:val="17"/>
              </w:rPr>
              <w:t>67.5</w:t>
            </w:r>
          </w:p>
        </w:tc>
        <w:tc>
          <w:tcPr>
            <w:tcW w:type="dxa" w:w="785"/>
          </w:tcPr>
          <w:p>
            <w:r>
              <w:rPr>
                <w:sz w:val="17"/>
              </w:rPr>
            </w:r>
            <w:r>
              <w:rPr>
                <w:sz w:val="17"/>
              </w:rPr>
              <w:t>72.3</w:t>
            </w:r>
          </w:p>
        </w:tc>
        <w:tc>
          <w:tcPr>
            <w:tcW w:type="dxa" w:w="785"/>
          </w:tcPr>
          <w:p>
            <w:r>
              <w:rPr>
                <w:sz w:val="17"/>
              </w:rPr>
            </w:r>
            <w:r>
              <w:rPr>
                <w:sz w:val="17"/>
              </w:rPr>
              <w:t>73.5</w:t>
            </w:r>
          </w:p>
        </w:tc>
        <w:tc>
          <w:tcPr>
            <w:tcW w:type="dxa" w:w="785"/>
          </w:tcPr>
          <w:p>
            <w:r>
              <w:rPr>
                <w:sz w:val="17"/>
              </w:rPr>
            </w:r>
            <w:r>
              <w:rPr>
                <w:sz w:val="17"/>
              </w:rPr>
              <w:t>74.1</w:t>
            </w:r>
          </w:p>
        </w:tc>
        <w:tc>
          <w:tcPr>
            <w:tcW w:type="dxa" w:w="785"/>
          </w:tcPr>
          <w:p>
            <w:r>
              <w:rPr>
                <w:sz w:val="17"/>
              </w:rPr>
            </w:r>
            <w:r>
              <w:rPr>
                <w:sz w:val="17"/>
              </w:rPr>
              <w:t>74.6</w:t>
            </w:r>
          </w:p>
        </w:tc>
        <w:tc>
          <w:tcPr>
            <w:tcW w:type="dxa" w:w="785"/>
          </w:tcPr>
          <w:p>
            <w:r>
              <w:rPr>
                <w:sz w:val="17"/>
              </w:rPr>
            </w:r>
            <w:r>
              <w:rPr>
                <w:sz w:val="17"/>
              </w:rPr>
              <w:t>74.9</w:t>
            </w:r>
          </w:p>
        </w:tc>
        <w:tc>
          <w:tcPr>
            <w:tcW w:type="dxa" w:w="785"/>
          </w:tcPr>
          <w:p>
            <w:r>
              <w:rPr>
                <w:sz w:val="17"/>
              </w:rPr>
            </w:r>
            <w:r>
              <w:rPr>
                <w:sz w:val="17"/>
              </w:rPr>
              <w:t>75.1</w:t>
            </w:r>
          </w:p>
        </w:tc>
      </w:tr>
      <w:tr>
        <w:tc>
          <w:tcPr>
            <w:tcW w:type="dxa" w:w="785"/>
          </w:tcPr>
          <w:p>
            <w:r>
              <w:rPr>
                <w:sz w:val="17"/>
              </w:rPr>
            </w:r>
            <w:r>
              <w:rPr>
                <w:sz w:val="17"/>
              </w:rPr>
              <w:t>Depreciation</w:t>
            </w:r>
          </w:p>
        </w:tc>
        <w:tc>
          <w:tcPr>
            <w:tcW w:type="dxa" w:w="785"/>
          </w:tcPr>
          <w:p>
            <w:r>
              <w:rPr>
                <w:sz w:val="17"/>
              </w:rPr>
            </w:r>
            <w:r>
              <w:rPr>
                <w:sz w:val="17"/>
              </w:rPr>
              <w:t>−43</w:t>
            </w:r>
          </w:p>
        </w:tc>
        <w:tc>
          <w:tcPr>
            <w:tcW w:type="dxa" w:w="785"/>
          </w:tcPr>
          <w:p>
            <w:r>
              <w:rPr>
                <w:sz w:val="17"/>
              </w:rPr>
            </w:r>
            <w:r>
              <w:rPr>
                <w:sz w:val="17"/>
              </w:rPr>
              <w:t>−103</w:t>
            </w:r>
          </w:p>
        </w:tc>
        <w:tc>
          <w:tcPr>
            <w:tcW w:type="dxa" w:w="785"/>
          </w:tcPr>
          <w:p>
            <w:r>
              <w:rPr>
                <w:sz w:val="17"/>
              </w:rPr>
            </w:r>
            <w:r>
              <w:rPr>
                <w:sz w:val="17"/>
              </w:rPr>
              <w:t>−160</w:t>
            </w:r>
          </w:p>
        </w:tc>
        <w:tc>
          <w:tcPr>
            <w:tcW w:type="dxa" w:w="785"/>
          </w:tcPr>
          <w:p>
            <w:r>
              <w:rPr>
                <w:sz w:val="17"/>
              </w:rPr>
            </w:r>
            <w:r>
              <w:rPr>
                <w:sz w:val="17"/>
              </w:rPr>
              <w:t>−239</w:t>
            </w:r>
          </w:p>
        </w:tc>
        <w:tc>
          <w:tcPr>
            <w:tcW w:type="dxa" w:w="785"/>
          </w:tcPr>
          <w:p>
            <w:r>
              <w:rPr>
                <w:sz w:val="17"/>
              </w:rPr>
            </w:r>
            <w:r>
              <w:rPr>
                <w:sz w:val="17"/>
              </w:rPr>
              <w:t>−496</w:t>
            </w:r>
          </w:p>
        </w:tc>
        <w:tc>
          <w:tcPr>
            <w:tcW w:type="dxa" w:w="785"/>
          </w:tcPr>
          <w:p>
            <w:r>
              <w:rPr>
                <w:sz w:val="17"/>
              </w:rPr>
            </w:r>
            <w:r>
              <w:rPr>
                <w:sz w:val="17"/>
              </w:rPr>
              <w:t>−839</w:t>
            </w:r>
          </w:p>
        </w:tc>
        <w:tc>
          <w:tcPr>
            <w:tcW w:type="dxa" w:w="785"/>
          </w:tcPr>
          <w:p>
            <w:r>
              <w:rPr>
                <w:sz w:val="17"/>
              </w:rPr>
            </w:r>
            <w:r>
              <w:rPr>
                <w:sz w:val="17"/>
              </w:rPr>
              <w:t>−1,067</w:t>
            </w:r>
          </w:p>
        </w:tc>
        <w:tc>
          <w:tcPr>
            <w:tcW w:type="dxa" w:w="785"/>
          </w:tcPr>
          <w:p>
            <w:r>
              <w:rPr>
                <w:sz w:val="17"/>
              </w:rPr>
            </w:r>
            <w:r>
              <w:rPr>
                <w:sz w:val="17"/>
              </w:rPr>
              <w:t>−1,281</w:t>
            </w:r>
          </w:p>
        </w:tc>
        <w:tc>
          <w:tcPr>
            <w:tcW w:type="dxa" w:w="785"/>
          </w:tcPr>
          <w:p>
            <w:r>
              <w:rPr>
                <w:sz w:val="17"/>
              </w:rPr>
            </w:r>
            <w:r>
              <w:rPr>
                <w:sz w:val="17"/>
              </w:rPr>
              <w:t>−1,550</w:t>
            </w:r>
          </w:p>
        </w:tc>
        <w:tc>
          <w:tcPr>
            <w:tcW w:type="dxa" w:w="785"/>
          </w:tcPr>
          <w:p>
            <w:r>
              <w:rPr>
                <w:sz w:val="17"/>
              </w:rPr>
            </w:r>
            <w:r>
              <w:rPr>
                <w:sz w:val="17"/>
              </w:rPr>
              <w:t>−1,779</w:t>
            </w:r>
          </w:p>
        </w:tc>
      </w:tr>
      <w:tr>
        <w:tc>
          <w:tcPr>
            <w:tcW w:type="dxa" w:w="785"/>
          </w:tcPr>
          <w:p>
            <w:r>
              <w:rPr>
                <w:sz w:val="17"/>
              </w:rPr>
            </w:r>
            <w:r>
              <w:rPr>
                <w:b/>
                <w:sz w:val="17"/>
              </w:rPr>
              <w:t>EBIT</w:t>
            </w:r>
          </w:p>
        </w:tc>
        <w:tc>
          <w:tcPr>
            <w:tcW w:type="dxa" w:w="785"/>
          </w:tcPr>
          <w:p>
            <w:r>
              <w:rPr>
                <w:sz w:val="17"/>
              </w:rPr>
            </w:r>
            <w:r>
              <w:rPr>
                <w:sz w:val="17"/>
              </w:rPr>
              <w:t>−763</w:t>
            </w:r>
          </w:p>
        </w:tc>
        <w:tc>
          <w:tcPr>
            <w:tcW w:type="dxa" w:w="785"/>
          </w:tcPr>
          <w:p>
            <w:r>
              <w:rPr>
                <w:sz w:val="17"/>
              </w:rPr>
            </w:r>
            <w:r>
              <w:rPr>
                <w:sz w:val="17"/>
              </w:rPr>
              <w:t>−298</w:t>
            </w:r>
          </w:p>
        </w:tc>
        <w:tc>
          <w:tcPr>
            <w:tcW w:type="dxa" w:w="785"/>
          </w:tcPr>
          <w:p>
            <w:r>
              <w:rPr>
                <w:sz w:val="17"/>
              </w:rPr>
            </w:r>
            <w:r>
              <w:rPr>
                <w:sz w:val="17"/>
              </w:rPr>
              <w:t>3,400</w:t>
            </w:r>
          </w:p>
        </w:tc>
        <w:tc>
          <w:tcPr>
            <w:tcW w:type="dxa" w:w="785"/>
          </w:tcPr>
          <w:p>
            <w:r>
              <w:rPr>
                <w:sz w:val="17"/>
              </w:rPr>
            </w:r>
            <w:r>
              <w:rPr>
                <w:sz w:val="17"/>
              </w:rPr>
              <w:t>11,773</w:t>
            </w:r>
          </w:p>
        </w:tc>
        <w:tc>
          <w:tcPr>
            <w:tcW w:type="dxa" w:w="785"/>
          </w:tcPr>
          <w:p>
            <w:r>
              <w:rPr>
                <w:sz w:val="17"/>
              </w:rPr>
            </w:r>
            <w:r>
              <w:rPr>
                <w:sz w:val="17"/>
              </w:rPr>
              <w:t>27,699</w:t>
            </w:r>
          </w:p>
        </w:tc>
        <w:tc>
          <w:tcPr>
            <w:tcW w:type="dxa" w:w="785"/>
          </w:tcPr>
          <w:p>
            <w:r>
              <w:rPr>
                <w:sz w:val="17"/>
              </w:rPr>
            </w:r>
            <w:r>
              <w:rPr>
                <w:sz w:val="17"/>
              </w:rPr>
              <w:t>40,927</w:t>
            </w:r>
          </w:p>
        </w:tc>
        <w:tc>
          <w:tcPr>
            <w:tcW w:type="dxa" w:w="785"/>
          </w:tcPr>
          <w:p>
            <w:r>
              <w:rPr>
                <w:sz w:val="17"/>
              </w:rPr>
            </w:r>
            <w:r>
              <w:rPr>
                <w:sz w:val="17"/>
              </w:rPr>
              <w:t>55,789</w:t>
            </w:r>
          </w:p>
        </w:tc>
        <w:tc>
          <w:tcPr>
            <w:tcW w:type="dxa" w:w="785"/>
          </w:tcPr>
          <w:p>
            <w:r>
              <w:rPr>
                <w:sz w:val="17"/>
              </w:rPr>
            </w:r>
            <w:r>
              <w:rPr>
                <w:sz w:val="17"/>
              </w:rPr>
              <w:t>72,058</w:t>
            </w:r>
          </w:p>
        </w:tc>
        <w:tc>
          <w:tcPr>
            <w:tcW w:type="dxa" w:w="785"/>
          </w:tcPr>
          <w:p>
            <w:r>
              <w:rPr>
                <w:sz w:val="17"/>
              </w:rPr>
            </w:r>
            <w:r>
              <w:rPr>
                <w:sz w:val="17"/>
              </w:rPr>
              <w:t>88,999</w:t>
            </w:r>
          </w:p>
        </w:tc>
        <w:tc>
          <w:tcPr>
            <w:tcW w:type="dxa" w:w="785"/>
          </w:tcPr>
          <w:p>
            <w:r>
              <w:rPr>
                <w:sz w:val="17"/>
              </w:rPr>
            </w:r>
            <w:r>
              <w:rPr>
                <w:sz w:val="17"/>
              </w:rPr>
              <w:t>105,333</w:t>
            </w:r>
          </w:p>
        </w:tc>
      </w:tr>
      <w:tr>
        <w:tc>
          <w:tcPr>
            <w:tcW w:type="dxa" w:w="785"/>
          </w:tcPr>
          <w:p>
            <w:r>
              <w:rPr>
                <w:sz w:val="17"/>
              </w:rPr>
            </w:r>
            <w:r>
              <w:rPr>
                <w:sz w:val="17"/>
              </w:rPr>
              <w:t>Profit tax</w:t>
            </w:r>
          </w:p>
        </w:tc>
        <w:tc>
          <w:tcPr>
            <w:tcW w:type="dxa" w:w="785"/>
          </w:tcPr>
          <w:p>
            <w:r>
              <w:rPr>
                <w:sz w:val="17"/>
              </w:rPr>
            </w:r>
            <w:r>
              <w:rPr>
                <w:sz w:val="17"/>
              </w:rPr>
              <w:t>−0</w:t>
            </w:r>
          </w:p>
        </w:tc>
        <w:tc>
          <w:tcPr>
            <w:tcW w:type="dxa" w:w="785"/>
          </w:tcPr>
          <w:p>
            <w:r>
              <w:rPr>
                <w:sz w:val="17"/>
              </w:rPr>
            </w:r>
            <w:r>
              <w:rPr>
                <w:sz w:val="17"/>
              </w:rPr>
              <w:t>−0</w:t>
            </w:r>
          </w:p>
        </w:tc>
        <w:tc>
          <w:tcPr>
            <w:tcW w:type="dxa" w:w="785"/>
          </w:tcPr>
          <w:p>
            <w:r>
              <w:rPr>
                <w:sz w:val="17"/>
              </w:rPr>
            </w:r>
            <w:r>
              <w:rPr>
                <w:sz w:val="17"/>
              </w:rPr>
              <w:t>−585</w:t>
            </w:r>
          </w:p>
        </w:tc>
        <w:tc>
          <w:tcPr>
            <w:tcW w:type="dxa" w:w="785"/>
          </w:tcPr>
          <w:p>
            <w:r>
              <w:rPr>
                <w:sz w:val="17"/>
              </w:rPr>
            </w:r>
            <w:r>
              <w:rPr>
                <w:sz w:val="17"/>
              </w:rPr>
              <w:t>−2,943</w:t>
            </w:r>
          </w:p>
        </w:tc>
        <w:tc>
          <w:tcPr>
            <w:tcW w:type="dxa" w:w="785"/>
          </w:tcPr>
          <w:p>
            <w:r>
              <w:rPr>
                <w:sz w:val="17"/>
              </w:rPr>
            </w:r>
            <w:r>
              <w:rPr>
                <w:sz w:val="17"/>
              </w:rPr>
              <w:t>−6,925</w:t>
            </w:r>
          </w:p>
        </w:tc>
        <w:tc>
          <w:tcPr>
            <w:tcW w:type="dxa" w:w="785"/>
          </w:tcPr>
          <w:p>
            <w:r>
              <w:rPr>
                <w:sz w:val="17"/>
              </w:rPr>
            </w:r>
            <w:r>
              <w:rPr>
                <w:sz w:val="17"/>
              </w:rPr>
              <w:t>−10,232</w:t>
            </w:r>
          </w:p>
        </w:tc>
        <w:tc>
          <w:tcPr>
            <w:tcW w:type="dxa" w:w="785"/>
          </w:tcPr>
          <w:p>
            <w:r>
              <w:rPr>
                <w:sz w:val="17"/>
              </w:rPr>
            </w:r>
            <w:r>
              <w:rPr>
                <w:sz w:val="17"/>
              </w:rPr>
              <w:t>−13,947</w:t>
            </w:r>
          </w:p>
        </w:tc>
        <w:tc>
          <w:tcPr>
            <w:tcW w:type="dxa" w:w="785"/>
          </w:tcPr>
          <w:p>
            <w:r>
              <w:rPr>
                <w:sz w:val="17"/>
              </w:rPr>
            </w:r>
            <w:r>
              <w:rPr>
                <w:sz w:val="17"/>
              </w:rPr>
              <w:t>−18,014</w:t>
            </w:r>
          </w:p>
        </w:tc>
        <w:tc>
          <w:tcPr>
            <w:tcW w:type="dxa" w:w="785"/>
          </w:tcPr>
          <w:p>
            <w:r>
              <w:rPr>
                <w:sz w:val="17"/>
              </w:rPr>
            </w:r>
            <w:r>
              <w:rPr>
                <w:sz w:val="17"/>
              </w:rPr>
              <w:t>−22,250</w:t>
            </w:r>
          </w:p>
        </w:tc>
        <w:tc>
          <w:tcPr>
            <w:tcW w:type="dxa" w:w="785"/>
          </w:tcPr>
          <w:p>
            <w:r>
              <w:rPr>
                <w:sz w:val="17"/>
              </w:rPr>
            </w:r>
            <w:r>
              <w:rPr>
                <w:sz w:val="17"/>
              </w:rPr>
              <w:t>−26,333</w:t>
            </w:r>
          </w:p>
        </w:tc>
      </w:tr>
      <w:tr>
        <w:tc>
          <w:tcPr>
            <w:tcW w:type="dxa" w:w="785"/>
          </w:tcPr>
          <w:p>
            <w:r>
              <w:rPr>
                <w:sz w:val="17"/>
              </w:rPr>
            </w:r>
            <w:r>
              <w:rPr>
                <w:b/>
                <w:sz w:val="17"/>
              </w:rPr>
              <w:t>Net profit</w:t>
            </w:r>
          </w:p>
        </w:tc>
        <w:tc>
          <w:tcPr>
            <w:tcW w:type="dxa" w:w="785"/>
          </w:tcPr>
          <w:p>
            <w:r>
              <w:rPr>
                <w:sz w:val="17"/>
              </w:rPr>
            </w:r>
            <w:r>
              <w:rPr>
                <w:sz w:val="17"/>
              </w:rPr>
              <w:t>−763</w:t>
            </w:r>
          </w:p>
        </w:tc>
        <w:tc>
          <w:tcPr>
            <w:tcW w:type="dxa" w:w="785"/>
          </w:tcPr>
          <w:p>
            <w:r>
              <w:rPr>
                <w:sz w:val="17"/>
              </w:rPr>
            </w:r>
            <w:r>
              <w:rPr>
                <w:sz w:val="17"/>
              </w:rPr>
              <w:t>−298</w:t>
            </w:r>
          </w:p>
        </w:tc>
        <w:tc>
          <w:tcPr>
            <w:tcW w:type="dxa" w:w="785"/>
          </w:tcPr>
          <w:p>
            <w:r>
              <w:rPr>
                <w:sz w:val="17"/>
              </w:rPr>
            </w:r>
            <w:r>
              <w:rPr>
                <w:sz w:val="17"/>
              </w:rPr>
              <w:t>2,815</w:t>
            </w:r>
          </w:p>
        </w:tc>
        <w:tc>
          <w:tcPr>
            <w:tcW w:type="dxa" w:w="785"/>
          </w:tcPr>
          <w:p>
            <w:r>
              <w:rPr>
                <w:sz w:val="17"/>
              </w:rPr>
            </w:r>
            <w:r>
              <w:rPr>
                <w:sz w:val="17"/>
              </w:rPr>
              <w:t>8,830</w:t>
            </w:r>
          </w:p>
        </w:tc>
        <w:tc>
          <w:tcPr>
            <w:tcW w:type="dxa" w:w="785"/>
          </w:tcPr>
          <w:p>
            <w:r>
              <w:rPr>
                <w:sz w:val="17"/>
              </w:rPr>
            </w:r>
            <w:r>
              <w:rPr>
                <w:sz w:val="17"/>
              </w:rPr>
              <w:t>20,774</w:t>
            </w:r>
          </w:p>
        </w:tc>
        <w:tc>
          <w:tcPr>
            <w:tcW w:type="dxa" w:w="785"/>
          </w:tcPr>
          <w:p>
            <w:r>
              <w:rPr>
                <w:sz w:val="17"/>
              </w:rPr>
            </w:r>
            <w:r>
              <w:rPr>
                <w:sz w:val="17"/>
              </w:rPr>
              <w:t>30,696</w:t>
            </w:r>
          </w:p>
        </w:tc>
        <w:tc>
          <w:tcPr>
            <w:tcW w:type="dxa" w:w="785"/>
          </w:tcPr>
          <w:p>
            <w:r>
              <w:rPr>
                <w:sz w:val="17"/>
              </w:rPr>
            </w:r>
            <w:r>
              <w:rPr>
                <w:sz w:val="17"/>
              </w:rPr>
              <w:t>41,841</w:t>
            </w:r>
          </w:p>
        </w:tc>
        <w:tc>
          <w:tcPr>
            <w:tcW w:type="dxa" w:w="785"/>
          </w:tcPr>
          <w:p>
            <w:r>
              <w:rPr>
                <w:sz w:val="17"/>
              </w:rPr>
            </w:r>
            <w:r>
              <w:rPr>
                <w:sz w:val="17"/>
              </w:rPr>
              <w:t>54,043</w:t>
            </w:r>
          </w:p>
        </w:tc>
        <w:tc>
          <w:tcPr>
            <w:tcW w:type="dxa" w:w="785"/>
          </w:tcPr>
          <w:p>
            <w:r>
              <w:rPr>
                <w:sz w:val="17"/>
              </w:rPr>
            </w:r>
            <w:r>
              <w:rPr>
                <w:sz w:val="17"/>
              </w:rPr>
              <w:t>66,749</w:t>
            </w:r>
          </w:p>
        </w:tc>
        <w:tc>
          <w:tcPr>
            <w:tcW w:type="dxa" w:w="785"/>
          </w:tcPr>
          <w:p>
            <w:r>
              <w:rPr>
                <w:sz w:val="17"/>
              </w:rPr>
            </w:r>
            <w:r>
              <w:rPr>
                <w:sz w:val="17"/>
              </w:rPr>
              <w:t>79,000</w:t>
            </w:r>
          </w:p>
        </w:tc>
      </w:tr>
    </w:tbl>
    <w:p/>
    <w:p>
      <w:pPr>
        <w:jc w:val="both"/>
      </w:pPr>
      <w:r>
        <w:t>Mature-year margin — 75.1%. Benchmarks of comparable companies: infrastructure exchange and depository operators 65–75%, international payment systems 60–70%.</w:t>
      </w:r>
    </w:p>
    <w:p>
      <w:pPr>
        <w:pStyle w:val="Heading2"/>
      </w:pPr>
      <w:r>
        <w:t>Sheet 4. Cash flow</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Parameter</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EBITDA</w:t>
            </w:r>
          </w:p>
        </w:tc>
        <w:tc>
          <w:tcPr>
            <w:tcW w:type="dxa" w:w="785"/>
          </w:tcPr>
          <w:p>
            <w:r>
              <w:rPr>
                <w:sz w:val="17"/>
              </w:rPr>
            </w:r>
            <w:r>
              <w:rPr>
                <w:sz w:val="17"/>
              </w:rPr>
              <w:t>−720</w:t>
            </w:r>
          </w:p>
        </w:tc>
        <w:tc>
          <w:tcPr>
            <w:tcW w:type="dxa" w:w="785"/>
          </w:tcPr>
          <w:p>
            <w:r>
              <w:rPr>
                <w:sz w:val="17"/>
              </w:rPr>
            </w:r>
            <w:r>
              <w:rPr>
                <w:sz w:val="17"/>
              </w:rPr>
              <w:t>−195</w:t>
            </w:r>
          </w:p>
        </w:tc>
        <w:tc>
          <w:tcPr>
            <w:tcW w:type="dxa" w:w="785"/>
          </w:tcPr>
          <w:p>
            <w:r>
              <w:rPr>
                <w:sz w:val="17"/>
              </w:rPr>
            </w:r>
            <w:r>
              <w:rPr>
                <w:sz w:val="17"/>
              </w:rPr>
              <w:t>3,560</w:t>
            </w:r>
          </w:p>
        </w:tc>
        <w:tc>
          <w:tcPr>
            <w:tcW w:type="dxa" w:w="785"/>
          </w:tcPr>
          <w:p>
            <w:r>
              <w:rPr>
                <w:sz w:val="17"/>
              </w:rPr>
            </w:r>
            <w:r>
              <w:rPr>
                <w:sz w:val="17"/>
              </w:rPr>
              <w:t>12,012</w:t>
            </w:r>
          </w:p>
        </w:tc>
        <w:tc>
          <w:tcPr>
            <w:tcW w:type="dxa" w:w="785"/>
          </w:tcPr>
          <w:p>
            <w:r>
              <w:rPr>
                <w:sz w:val="17"/>
              </w:rPr>
            </w:r>
            <w:r>
              <w:rPr>
                <w:sz w:val="17"/>
              </w:rPr>
              <w:t>28,195</w:t>
            </w:r>
          </w:p>
        </w:tc>
        <w:tc>
          <w:tcPr>
            <w:tcW w:type="dxa" w:w="785"/>
          </w:tcPr>
          <w:p>
            <w:r>
              <w:rPr>
                <w:sz w:val="17"/>
              </w:rPr>
            </w:r>
            <w:r>
              <w:rPr>
                <w:sz w:val="17"/>
              </w:rPr>
              <w:t>41,766</w:t>
            </w:r>
          </w:p>
        </w:tc>
        <w:tc>
          <w:tcPr>
            <w:tcW w:type="dxa" w:w="785"/>
          </w:tcPr>
          <w:p>
            <w:r>
              <w:rPr>
                <w:sz w:val="17"/>
              </w:rPr>
            </w:r>
            <w:r>
              <w:rPr>
                <w:sz w:val="17"/>
              </w:rPr>
              <w:t>56,856</w:t>
            </w:r>
          </w:p>
        </w:tc>
        <w:tc>
          <w:tcPr>
            <w:tcW w:type="dxa" w:w="785"/>
          </w:tcPr>
          <w:p>
            <w:r>
              <w:rPr>
                <w:sz w:val="17"/>
              </w:rPr>
            </w:r>
            <w:r>
              <w:rPr>
                <w:sz w:val="17"/>
              </w:rPr>
              <w:t>73,339</w:t>
            </w:r>
          </w:p>
        </w:tc>
        <w:tc>
          <w:tcPr>
            <w:tcW w:type="dxa" w:w="785"/>
          </w:tcPr>
          <w:p>
            <w:r>
              <w:rPr>
                <w:sz w:val="17"/>
              </w:rPr>
            </w:r>
            <w:r>
              <w:rPr>
                <w:sz w:val="17"/>
              </w:rPr>
              <w:t>90,549</w:t>
            </w:r>
          </w:p>
        </w:tc>
        <w:tc>
          <w:tcPr>
            <w:tcW w:type="dxa" w:w="785"/>
          </w:tcPr>
          <w:p>
            <w:r>
              <w:rPr>
                <w:sz w:val="17"/>
              </w:rPr>
            </w:r>
            <w:r>
              <w:rPr>
                <w:sz w:val="17"/>
              </w:rPr>
              <w:t>107,112</w:t>
            </w:r>
          </w:p>
        </w:tc>
      </w:tr>
      <w:tr>
        <w:tc>
          <w:tcPr>
            <w:tcW w:type="dxa" w:w="785"/>
          </w:tcPr>
          <w:p>
            <w:r>
              <w:rPr>
                <w:sz w:val="17"/>
              </w:rPr>
            </w:r>
            <w:r>
              <w:rPr>
                <w:sz w:val="17"/>
              </w:rPr>
              <w:t>Profit tax</w:t>
            </w:r>
          </w:p>
        </w:tc>
        <w:tc>
          <w:tcPr>
            <w:tcW w:type="dxa" w:w="785"/>
          </w:tcPr>
          <w:p>
            <w:r>
              <w:rPr>
                <w:sz w:val="17"/>
              </w:rPr>
            </w:r>
            <w:r>
              <w:rPr>
                <w:sz w:val="17"/>
              </w:rPr>
              <w:t>−0</w:t>
            </w:r>
          </w:p>
        </w:tc>
        <w:tc>
          <w:tcPr>
            <w:tcW w:type="dxa" w:w="785"/>
          </w:tcPr>
          <w:p>
            <w:r>
              <w:rPr>
                <w:sz w:val="17"/>
              </w:rPr>
            </w:r>
            <w:r>
              <w:rPr>
                <w:sz w:val="17"/>
              </w:rPr>
              <w:t>−0</w:t>
            </w:r>
          </w:p>
        </w:tc>
        <w:tc>
          <w:tcPr>
            <w:tcW w:type="dxa" w:w="785"/>
          </w:tcPr>
          <w:p>
            <w:r>
              <w:rPr>
                <w:sz w:val="17"/>
              </w:rPr>
            </w:r>
            <w:r>
              <w:rPr>
                <w:sz w:val="17"/>
              </w:rPr>
              <w:t>−585</w:t>
            </w:r>
          </w:p>
        </w:tc>
        <w:tc>
          <w:tcPr>
            <w:tcW w:type="dxa" w:w="785"/>
          </w:tcPr>
          <w:p>
            <w:r>
              <w:rPr>
                <w:sz w:val="17"/>
              </w:rPr>
            </w:r>
            <w:r>
              <w:rPr>
                <w:sz w:val="17"/>
              </w:rPr>
              <w:t>−2,943</w:t>
            </w:r>
          </w:p>
        </w:tc>
        <w:tc>
          <w:tcPr>
            <w:tcW w:type="dxa" w:w="785"/>
          </w:tcPr>
          <w:p>
            <w:r>
              <w:rPr>
                <w:sz w:val="17"/>
              </w:rPr>
            </w:r>
            <w:r>
              <w:rPr>
                <w:sz w:val="17"/>
              </w:rPr>
              <w:t>−6,925</w:t>
            </w:r>
          </w:p>
        </w:tc>
        <w:tc>
          <w:tcPr>
            <w:tcW w:type="dxa" w:w="785"/>
          </w:tcPr>
          <w:p>
            <w:r>
              <w:rPr>
                <w:sz w:val="17"/>
              </w:rPr>
            </w:r>
            <w:r>
              <w:rPr>
                <w:sz w:val="17"/>
              </w:rPr>
              <w:t>−10,232</w:t>
            </w:r>
          </w:p>
        </w:tc>
        <w:tc>
          <w:tcPr>
            <w:tcW w:type="dxa" w:w="785"/>
          </w:tcPr>
          <w:p>
            <w:r>
              <w:rPr>
                <w:sz w:val="17"/>
              </w:rPr>
            </w:r>
            <w:r>
              <w:rPr>
                <w:sz w:val="17"/>
              </w:rPr>
              <w:t>−13,947</w:t>
            </w:r>
          </w:p>
        </w:tc>
        <w:tc>
          <w:tcPr>
            <w:tcW w:type="dxa" w:w="785"/>
          </w:tcPr>
          <w:p>
            <w:r>
              <w:rPr>
                <w:sz w:val="17"/>
              </w:rPr>
            </w:r>
            <w:r>
              <w:rPr>
                <w:sz w:val="17"/>
              </w:rPr>
              <w:t>−18,014</w:t>
            </w:r>
          </w:p>
        </w:tc>
        <w:tc>
          <w:tcPr>
            <w:tcW w:type="dxa" w:w="785"/>
          </w:tcPr>
          <w:p>
            <w:r>
              <w:rPr>
                <w:sz w:val="17"/>
              </w:rPr>
            </w:r>
            <w:r>
              <w:rPr>
                <w:sz w:val="17"/>
              </w:rPr>
              <w:t>−22,250</w:t>
            </w:r>
          </w:p>
        </w:tc>
        <w:tc>
          <w:tcPr>
            <w:tcW w:type="dxa" w:w="785"/>
          </w:tcPr>
          <w:p>
            <w:r>
              <w:rPr>
                <w:sz w:val="17"/>
              </w:rPr>
            </w:r>
            <w:r>
              <w:rPr>
                <w:sz w:val="17"/>
              </w:rPr>
              <w:t>−26,333</w:t>
            </w:r>
          </w:p>
        </w:tc>
      </w:tr>
      <w:tr>
        <w:tc>
          <w:tcPr>
            <w:tcW w:type="dxa" w:w="785"/>
          </w:tcPr>
          <w:p>
            <w:r>
              <w:rPr>
                <w:sz w:val="17"/>
              </w:rPr>
            </w:r>
            <w:r>
              <w:rPr>
                <w:sz w:val="17"/>
              </w:rPr>
              <w:t>Increase in working capital</w:t>
            </w:r>
          </w:p>
        </w:tc>
        <w:tc>
          <w:tcPr>
            <w:tcW w:type="dxa" w:w="785"/>
          </w:tcPr>
          <w:p>
            <w:r>
              <w:rPr>
                <w:sz w:val="17"/>
              </w:rPr>
            </w:r>
            <w:r>
              <w:rPr>
                <w:sz w:val="17"/>
              </w:rPr>
              <w:t>−0</w:t>
            </w:r>
          </w:p>
        </w:tc>
        <w:tc>
          <w:tcPr>
            <w:tcW w:type="dxa" w:w="785"/>
          </w:tcPr>
          <w:p>
            <w:r>
              <w:rPr>
                <w:sz w:val="17"/>
              </w:rPr>
            </w:r>
            <w:r>
              <w:rPr>
                <w:sz w:val="17"/>
              </w:rPr>
              <w:t>−65</w:t>
            </w:r>
          </w:p>
        </w:tc>
        <w:tc>
          <w:tcPr>
            <w:tcW w:type="dxa" w:w="785"/>
          </w:tcPr>
          <w:p>
            <w:r>
              <w:rPr>
                <w:sz w:val="17"/>
              </w:rPr>
            </w:r>
            <w:r>
              <w:rPr>
                <w:sz w:val="17"/>
              </w:rPr>
              <w:t>−260</w:t>
            </w:r>
          </w:p>
        </w:tc>
        <w:tc>
          <w:tcPr>
            <w:tcW w:type="dxa" w:w="785"/>
          </w:tcPr>
          <w:p>
            <w:r>
              <w:rPr>
                <w:sz w:val="17"/>
              </w:rPr>
            </w:r>
            <w:r>
              <w:rPr>
                <w:sz w:val="17"/>
              </w:rPr>
              <w:t>−564</w:t>
            </w:r>
          </w:p>
        </w:tc>
        <w:tc>
          <w:tcPr>
            <w:tcW w:type="dxa" w:w="785"/>
          </w:tcPr>
          <w:p>
            <w:r>
              <w:rPr>
                <w:sz w:val="17"/>
              </w:rPr>
            </w:r>
            <w:r>
              <w:rPr>
                <w:sz w:val="17"/>
              </w:rPr>
              <w:t>−1,061</w:t>
            </w:r>
          </w:p>
        </w:tc>
        <w:tc>
          <w:tcPr>
            <w:tcW w:type="dxa" w:w="785"/>
          </w:tcPr>
          <w:p>
            <w:r>
              <w:rPr>
                <w:sz w:val="17"/>
              </w:rPr>
            </w:r>
            <w:r>
              <w:rPr>
                <w:sz w:val="17"/>
              </w:rPr>
              <w:t>−892</w:t>
            </w:r>
          </w:p>
        </w:tc>
        <w:tc>
          <w:tcPr>
            <w:tcW w:type="dxa" w:w="785"/>
          </w:tcPr>
          <w:p>
            <w:r>
              <w:rPr>
                <w:sz w:val="17"/>
              </w:rPr>
            </w:r>
            <w:r>
              <w:rPr>
                <w:sz w:val="17"/>
              </w:rPr>
              <w:t>−991</w:t>
            </w:r>
          </w:p>
        </w:tc>
        <w:tc>
          <w:tcPr>
            <w:tcW w:type="dxa" w:w="785"/>
          </w:tcPr>
          <w:p>
            <w:r>
              <w:rPr>
                <w:sz w:val="17"/>
              </w:rPr>
            </w:r>
            <w:r>
              <w:rPr>
                <w:sz w:val="17"/>
              </w:rPr>
              <w:t>−1,083</w:t>
            </w:r>
          </w:p>
        </w:tc>
        <w:tc>
          <w:tcPr>
            <w:tcW w:type="dxa" w:w="785"/>
          </w:tcPr>
          <w:p>
            <w:r>
              <w:rPr>
                <w:sz w:val="17"/>
              </w:rPr>
            </w:r>
            <w:r>
              <w:rPr>
                <w:sz w:val="17"/>
              </w:rPr>
              <w:t>−1,126</w:t>
            </w:r>
          </w:p>
        </w:tc>
        <w:tc>
          <w:tcPr>
            <w:tcW w:type="dxa" w:w="785"/>
          </w:tcPr>
          <w:p>
            <w:r>
              <w:rPr>
                <w:sz w:val="17"/>
              </w:rPr>
            </w:r>
            <w:r>
              <w:rPr>
                <w:sz w:val="17"/>
              </w:rPr>
              <w:t>−1,087</w:t>
            </w:r>
          </w:p>
        </w:tc>
      </w:tr>
      <w:tr>
        <w:tc>
          <w:tcPr>
            <w:tcW w:type="dxa" w:w="785"/>
          </w:tcPr>
          <w:p>
            <w:r>
              <w:rPr>
                <w:sz w:val="17"/>
              </w:rPr>
            </w:r>
            <w:r>
              <w:rPr>
                <w:sz w:val="17"/>
              </w:rPr>
              <w:t>Capital expenditure</w:t>
            </w:r>
          </w:p>
        </w:tc>
        <w:tc>
          <w:tcPr>
            <w:tcW w:type="dxa" w:w="785"/>
          </w:tcPr>
          <w:p>
            <w:r>
              <w:rPr>
                <w:sz w:val="17"/>
              </w:rPr>
            </w:r>
            <w:r>
              <w:rPr>
                <w:sz w:val="17"/>
              </w:rPr>
              <w:t>−300</w:t>
            </w:r>
          </w:p>
        </w:tc>
        <w:tc>
          <w:tcPr>
            <w:tcW w:type="dxa" w:w="785"/>
          </w:tcPr>
          <w:p>
            <w:r>
              <w:rPr>
                <w:sz w:val="17"/>
              </w:rPr>
            </w:r>
            <w:r>
              <w:rPr>
                <w:sz w:val="17"/>
              </w:rPr>
              <w:t>−420</w:t>
            </w:r>
          </w:p>
        </w:tc>
        <w:tc>
          <w:tcPr>
            <w:tcW w:type="dxa" w:w="785"/>
          </w:tcPr>
          <w:p>
            <w:r>
              <w:rPr>
                <w:sz w:val="17"/>
              </w:rPr>
            </w:r>
            <w:r>
              <w:rPr>
                <w:sz w:val="17"/>
              </w:rPr>
              <w:t>−400</w:t>
            </w:r>
          </w:p>
        </w:tc>
        <w:tc>
          <w:tcPr>
            <w:tcW w:type="dxa" w:w="785"/>
          </w:tcPr>
          <w:p>
            <w:r>
              <w:rPr>
                <w:sz w:val="17"/>
              </w:rPr>
            </w:r>
            <w:r>
              <w:rPr>
                <w:sz w:val="17"/>
              </w:rPr>
              <w:t>−550</w:t>
            </w:r>
          </w:p>
        </w:tc>
        <w:tc>
          <w:tcPr>
            <w:tcW w:type="dxa" w:w="785"/>
          </w:tcPr>
          <w:p>
            <w:r>
              <w:rPr>
                <w:sz w:val="17"/>
              </w:rPr>
            </w:r>
            <w:r>
              <w:rPr>
                <w:sz w:val="17"/>
              </w:rPr>
              <w:t>−1,800</w:t>
            </w:r>
          </w:p>
        </w:tc>
        <w:tc>
          <w:tcPr>
            <w:tcW w:type="dxa" w:w="785"/>
          </w:tcPr>
          <w:p>
            <w:r>
              <w:rPr>
                <w:sz w:val="17"/>
              </w:rPr>
            </w:r>
            <w:r>
              <w:rPr>
                <w:sz w:val="17"/>
              </w:rPr>
              <w:t>−2,400</w:t>
            </w:r>
          </w:p>
        </w:tc>
        <w:tc>
          <w:tcPr>
            <w:tcW w:type="dxa" w:w="785"/>
          </w:tcPr>
          <w:p>
            <w:r>
              <w:rPr>
                <w:sz w:val="17"/>
              </w:rPr>
            </w:r>
            <w:r>
              <w:rPr>
                <w:sz w:val="17"/>
              </w:rPr>
              <w:t>−1,600</w:t>
            </w:r>
          </w:p>
        </w:tc>
        <w:tc>
          <w:tcPr>
            <w:tcW w:type="dxa" w:w="785"/>
          </w:tcPr>
          <w:p>
            <w:r>
              <w:rPr>
                <w:sz w:val="17"/>
              </w:rPr>
            </w:r>
            <w:r>
              <w:rPr>
                <w:sz w:val="17"/>
              </w:rPr>
              <w:t>−1,800</w:t>
            </w:r>
          </w:p>
        </w:tc>
        <w:tc>
          <w:tcPr>
            <w:tcW w:type="dxa" w:w="785"/>
          </w:tcPr>
          <w:p>
            <w:r>
              <w:rPr>
                <w:sz w:val="17"/>
              </w:rPr>
            </w:r>
            <w:r>
              <w:rPr>
                <w:sz w:val="17"/>
              </w:rPr>
              <w:t>−2,300</w:t>
            </w:r>
          </w:p>
        </w:tc>
        <w:tc>
          <w:tcPr>
            <w:tcW w:type="dxa" w:w="785"/>
          </w:tcPr>
          <w:p>
            <w:r>
              <w:rPr>
                <w:sz w:val="17"/>
              </w:rPr>
            </w:r>
            <w:r>
              <w:rPr>
                <w:sz w:val="17"/>
              </w:rPr>
              <w:t>−2,000</w:t>
            </w:r>
          </w:p>
        </w:tc>
      </w:tr>
      <w:tr>
        <w:tc>
          <w:tcPr>
            <w:tcW w:type="dxa" w:w="785"/>
          </w:tcPr>
          <w:p>
            <w:r>
              <w:rPr>
                <w:sz w:val="17"/>
              </w:rPr>
            </w:r>
            <w:r>
              <w:rPr>
                <w:b/>
                <w:sz w:val="17"/>
              </w:rPr>
              <w:t>Free cash flow</w:t>
            </w:r>
          </w:p>
        </w:tc>
        <w:tc>
          <w:tcPr>
            <w:tcW w:type="dxa" w:w="785"/>
          </w:tcPr>
          <w:p>
            <w:r>
              <w:rPr>
                <w:sz w:val="17"/>
              </w:rPr>
            </w:r>
            <w:r>
              <w:rPr>
                <w:sz w:val="17"/>
              </w:rPr>
              <w:t>−1,020</w:t>
            </w:r>
          </w:p>
        </w:tc>
        <w:tc>
          <w:tcPr>
            <w:tcW w:type="dxa" w:w="785"/>
          </w:tcPr>
          <w:p>
            <w:r>
              <w:rPr>
                <w:sz w:val="17"/>
              </w:rPr>
            </w:r>
            <w:r>
              <w:rPr>
                <w:sz w:val="17"/>
              </w:rPr>
              <w:t>−680</w:t>
            </w:r>
          </w:p>
        </w:tc>
        <w:tc>
          <w:tcPr>
            <w:tcW w:type="dxa" w:w="785"/>
          </w:tcPr>
          <w:p>
            <w:r>
              <w:rPr>
                <w:sz w:val="17"/>
              </w:rPr>
            </w:r>
            <w:r>
              <w:rPr>
                <w:sz w:val="17"/>
              </w:rPr>
              <w:t>2,315</w:t>
            </w:r>
          </w:p>
        </w:tc>
        <w:tc>
          <w:tcPr>
            <w:tcW w:type="dxa" w:w="785"/>
          </w:tcPr>
          <w:p>
            <w:r>
              <w:rPr>
                <w:sz w:val="17"/>
              </w:rPr>
            </w:r>
            <w:r>
              <w:rPr>
                <w:sz w:val="17"/>
              </w:rPr>
              <w:t>7,955</w:t>
            </w:r>
          </w:p>
        </w:tc>
        <w:tc>
          <w:tcPr>
            <w:tcW w:type="dxa" w:w="785"/>
          </w:tcPr>
          <w:p>
            <w:r>
              <w:rPr>
                <w:sz w:val="17"/>
              </w:rPr>
            </w:r>
            <w:r>
              <w:rPr>
                <w:sz w:val="17"/>
              </w:rPr>
              <w:t>18,409</w:t>
            </w:r>
          </w:p>
        </w:tc>
        <w:tc>
          <w:tcPr>
            <w:tcW w:type="dxa" w:w="785"/>
          </w:tcPr>
          <w:p>
            <w:r>
              <w:rPr>
                <w:sz w:val="17"/>
              </w:rPr>
            </w:r>
            <w:r>
              <w:rPr>
                <w:sz w:val="17"/>
              </w:rPr>
              <w:t>28,242</w:t>
            </w:r>
          </w:p>
        </w:tc>
        <w:tc>
          <w:tcPr>
            <w:tcW w:type="dxa" w:w="785"/>
          </w:tcPr>
          <w:p>
            <w:r>
              <w:rPr>
                <w:sz w:val="17"/>
              </w:rPr>
            </w:r>
            <w:r>
              <w:rPr>
                <w:sz w:val="17"/>
              </w:rPr>
              <w:t>40,317</w:t>
            </w:r>
          </w:p>
        </w:tc>
        <w:tc>
          <w:tcPr>
            <w:tcW w:type="dxa" w:w="785"/>
          </w:tcPr>
          <w:p>
            <w:r>
              <w:rPr>
                <w:sz w:val="17"/>
              </w:rPr>
            </w:r>
            <w:r>
              <w:rPr>
                <w:sz w:val="17"/>
              </w:rPr>
              <w:t>52,442</w:t>
            </w:r>
          </w:p>
        </w:tc>
        <w:tc>
          <w:tcPr>
            <w:tcW w:type="dxa" w:w="785"/>
          </w:tcPr>
          <w:p>
            <w:r>
              <w:rPr>
                <w:sz w:val="17"/>
              </w:rPr>
            </w:r>
            <w:r>
              <w:rPr>
                <w:sz w:val="17"/>
              </w:rPr>
              <w:t>64,873</w:t>
            </w:r>
          </w:p>
        </w:tc>
        <w:tc>
          <w:tcPr>
            <w:tcW w:type="dxa" w:w="785"/>
          </w:tcPr>
          <w:p>
            <w:r>
              <w:rPr>
                <w:sz w:val="17"/>
              </w:rPr>
            </w:r>
            <w:r>
              <w:rPr>
                <w:sz w:val="17"/>
              </w:rPr>
              <w:t>77,692</w:t>
            </w:r>
          </w:p>
        </w:tc>
      </w:tr>
      <w:tr>
        <w:tc>
          <w:tcPr>
            <w:tcW w:type="dxa" w:w="785"/>
          </w:tcPr>
          <w:p>
            <w:r>
              <w:rPr>
                <w:sz w:val="17"/>
              </w:rPr>
            </w:r>
            <w:r>
              <w:rPr>
                <w:sz w:val="17"/>
              </w:rPr>
              <w:t>Cumulative cash flow</w:t>
            </w:r>
          </w:p>
        </w:tc>
        <w:tc>
          <w:tcPr>
            <w:tcW w:type="dxa" w:w="785"/>
          </w:tcPr>
          <w:p>
            <w:r>
              <w:rPr>
                <w:sz w:val="17"/>
              </w:rPr>
            </w:r>
            <w:r>
              <w:rPr>
                <w:sz w:val="17"/>
              </w:rPr>
              <w:t>−1,020</w:t>
            </w:r>
          </w:p>
        </w:tc>
        <w:tc>
          <w:tcPr>
            <w:tcW w:type="dxa" w:w="785"/>
          </w:tcPr>
          <w:p>
            <w:r>
              <w:rPr>
                <w:sz w:val="17"/>
              </w:rPr>
            </w:r>
            <w:r>
              <w:rPr>
                <w:sz w:val="17"/>
              </w:rPr>
              <w:t>−1,701</w:t>
            </w:r>
          </w:p>
        </w:tc>
        <w:tc>
          <w:tcPr>
            <w:tcW w:type="dxa" w:w="785"/>
          </w:tcPr>
          <w:p>
            <w:r>
              <w:rPr>
                <w:sz w:val="17"/>
              </w:rPr>
            </w:r>
            <w:r>
              <w:rPr>
                <w:sz w:val="17"/>
              </w:rPr>
              <w:t>614</w:t>
            </w:r>
          </w:p>
        </w:tc>
        <w:tc>
          <w:tcPr>
            <w:tcW w:type="dxa" w:w="785"/>
          </w:tcPr>
          <w:p>
            <w:r>
              <w:rPr>
                <w:sz w:val="17"/>
              </w:rPr>
            </w:r>
            <w:r>
              <w:rPr>
                <w:sz w:val="17"/>
              </w:rPr>
              <w:t>8,569</w:t>
            </w:r>
          </w:p>
        </w:tc>
        <w:tc>
          <w:tcPr>
            <w:tcW w:type="dxa" w:w="785"/>
          </w:tcPr>
          <w:p>
            <w:r>
              <w:rPr>
                <w:sz w:val="17"/>
              </w:rPr>
            </w:r>
            <w:r>
              <w:rPr>
                <w:sz w:val="17"/>
              </w:rPr>
              <w:t>26,978</w:t>
            </w:r>
          </w:p>
        </w:tc>
        <w:tc>
          <w:tcPr>
            <w:tcW w:type="dxa" w:w="785"/>
          </w:tcPr>
          <w:p>
            <w:r>
              <w:rPr>
                <w:sz w:val="17"/>
              </w:rPr>
            </w:r>
            <w:r>
              <w:rPr>
                <w:sz w:val="17"/>
              </w:rPr>
              <w:t>55,220</w:t>
            </w:r>
          </w:p>
        </w:tc>
        <w:tc>
          <w:tcPr>
            <w:tcW w:type="dxa" w:w="785"/>
          </w:tcPr>
          <w:p>
            <w:r>
              <w:rPr>
                <w:sz w:val="17"/>
              </w:rPr>
            </w:r>
            <w:r>
              <w:rPr>
                <w:sz w:val="17"/>
              </w:rPr>
              <w:t>95,537</w:t>
            </w:r>
          </w:p>
        </w:tc>
        <w:tc>
          <w:tcPr>
            <w:tcW w:type="dxa" w:w="785"/>
          </w:tcPr>
          <w:p>
            <w:r>
              <w:rPr>
                <w:sz w:val="17"/>
              </w:rPr>
            </w:r>
            <w:r>
              <w:rPr>
                <w:sz w:val="17"/>
              </w:rPr>
              <w:t>147,979</w:t>
            </w:r>
          </w:p>
        </w:tc>
        <w:tc>
          <w:tcPr>
            <w:tcW w:type="dxa" w:w="785"/>
          </w:tcPr>
          <w:p>
            <w:r>
              <w:rPr>
                <w:sz w:val="17"/>
              </w:rPr>
            </w:r>
            <w:r>
              <w:rPr>
                <w:sz w:val="17"/>
              </w:rPr>
              <w:t>212,852</w:t>
            </w:r>
          </w:p>
        </w:tc>
        <w:tc>
          <w:tcPr>
            <w:tcW w:type="dxa" w:w="785"/>
          </w:tcPr>
          <w:p>
            <w:r>
              <w:rPr>
                <w:sz w:val="17"/>
              </w:rPr>
            </w:r>
            <w:r>
              <w:rPr>
                <w:sz w:val="17"/>
              </w:rPr>
              <w:t>290,543</w:t>
            </w:r>
          </w:p>
        </w:tc>
      </w:tr>
      <w:tr>
        <w:tc>
          <w:tcPr>
            <w:tcW w:type="dxa" w:w="785"/>
          </w:tcPr>
          <w:p>
            <w:r>
              <w:rPr>
                <w:sz w:val="17"/>
              </w:rPr>
            </w:r>
            <w:r>
              <w:rPr>
                <w:sz w:val="17"/>
              </w:rPr>
              <w:t>Discount factor</w:t>
            </w:r>
          </w:p>
        </w:tc>
        <w:tc>
          <w:tcPr>
            <w:tcW w:type="dxa" w:w="785"/>
          </w:tcPr>
          <w:p>
            <w:r>
              <w:rPr>
                <w:sz w:val="17"/>
              </w:rPr>
            </w:r>
            <w:r>
              <w:rPr>
                <w:sz w:val="17"/>
              </w:rPr>
              <w:t>0.7717</w:t>
            </w:r>
          </w:p>
        </w:tc>
        <w:tc>
          <w:tcPr>
            <w:tcW w:type="dxa" w:w="785"/>
          </w:tcPr>
          <w:p>
            <w:r>
              <w:rPr>
                <w:sz w:val="17"/>
              </w:rPr>
            </w:r>
            <w:r>
              <w:rPr>
                <w:sz w:val="17"/>
              </w:rPr>
              <w:t>0.5956</w:t>
            </w:r>
          </w:p>
        </w:tc>
        <w:tc>
          <w:tcPr>
            <w:tcW w:type="dxa" w:w="785"/>
          </w:tcPr>
          <w:p>
            <w:r>
              <w:rPr>
                <w:sz w:val="17"/>
              </w:rPr>
            </w:r>
            <w:r>
              <w:rPr>
                <w:sz w:val="17"/>
              </w:rPr>
              <w:t>0.4596</w:t>
            </w:r>
          </w:p>
        </w:tc>
        <w:tc>
          <w:tcPr>
            <w:tcW w:type="dxa" w:w="785"/>
          </w:tcPr>
          <w:p>
            <w:r>
              <w:rPr>
                <w:sz w:val="17"/>
              </w:rPr>
            </w:r>
            <w:r>
              <w:rPr>
                <w:sz w:val="17"/>
              </w:rPr>
              <w:t>0.3547</w:t>
            </w:r>
          </w:p>
        </w:tc>
        <w:tc>
          <w:tcPr>
            <w:tcW w:type="dxa" w:w="785"/>
          </w:tcPr>
          <w:p>
            <w:r>
              <w:rPr>
                <w:sz w:val="17"/>
              </w:rPr>
            </w:r>
            <w:r>
              <w:rPr>
                <w:sz w:val="17"/>
              </w:rPr>
              <w:t>0.2737</w:t>
            </w:r>
          </w:p>
        </w:tc>
        <w:tc>
          <w:tcPr>
            <w:tcW w:type="dxa" w:w="785"/>
          </w:tcPr>
          <w:p>
            <w:r>
              <w:rPr>
                <w:sz w:val="17"/>
              </w:rPr>
            </w:r>
            <w:r>
              <w:rPr>
                <w:sz w:val="17"/>
              </w:rPr>
              <w:t>0.2112</w:t>
            </w:r>
          </w:p>
        </w:tc>
        <w:tc>
          <w:tcPr>
            <w:tcW w:type="dxa" w:w="785"/>
          </w:tcPr>
          <w:p>
            <w:r>
              <w:rPr>
                <w:sz w:val="17"/>
              </w:rPr>
            </w:r>
            <w:r>
              <w:rPr>
                <w:sz w:val="17"/>
              </w:rPr>
              <w:t>0.1630</w:t>
            </w:r>
          </w:p>
        </w:tc>
        <w:tc>
          <w:tcPr>
            <w:tcW w:type="dxa" w:w="785"/>
          </w:tcPr>
          <w:p>
            <w:r>
              <w:rPr>
                <w:sz w:val="17"/>
              </w:rPr>
            </w:r>
            <w:r>
              <w:rPr>
                <w:sz w:val="17"/>
              </w:rPr>
              <w:t>0.1258</w:t>
            </w:r>
          </w:p>
        </w:tc>
        <w:tc>
          <w:tcPr>
            <w:tcW w:type="dxa" w:w="785"/>
          </w:tcPr>
          <w:p>
            <w:r>
              <w:rPr>
                <w:sz w:val="17"/>
              </w:rPr>
            </w:r>
            <w:r>
              <w:rPr>
                <w:sz w:val="17"/>
              </w:rPr>
              <w:t>0.0971</w:t>
            </w:r>
          </w:p>
        </w:tc>
        <w:tc>
          <w:tcPr>
            <w:tcW w:type="dxa" w:w="785"/>
          </w:tcPr>
          <w:p>
            <w:r>
              <w:rPr>
                <w:sz w:val="17"/>
              </w:rPr>
            </w:r>
            <w:r>
              <w:rPr>
                <w:sz w:val="17"/>
              </w:rPr>
              <w:t>0.0749</w:t>
            </w:r>
          </w:p>
        </w:tc>
      </w:tr>
      <w:tr>
        <w:tc>
          <w:tcPr>
            <w:tcW w:type="dxa" w:w="785"/>
          </w:tcPr>
          <w:p>
            <w:r>
              <w:rPr>
                <w:sz w:val="17"/>
              </w:rPr>
            </w:r>
            <w:r>
              <w:rPr>
                <w:sz w:val="17"/>
              </w:rPr>
              <w:t>Discounted cash flow</w:t>
            </w:r>
          </w:p>
        </w:tc>
        <w:tc>
          <w:tcPr>
            <w:tcW w:type="dxa" w:w="785"/>
          </w:tcPr>
          <w:p>
            <w:r>
              <w:rPr>
                <w:sz w:val="17"/>
              </w:rPr>
            </w:r>
            <w:r>
              <w:rPr>
                <w:sz w:val="17"/>
              </w:rPr>
              <w:t>−787</w:t>
            </w:r>
          </w:p>
        </w:tc>
        <w:tc>
          <w:tcPr>
            <w:tcW w:type="dxa" w:w="785"/>
          </w:tcPr>
          <w:p>
            <w:r>
              <w:rPr>
                <w:sz w:val="17"/>
              </w:rPr>
            </w:r>
            <w:r>
              <w:rPr>
                <w:sz w:val="17"/>
              </w:rPr>
              <w:t>−405</w:t>
            </w:r>
          </w:p>
        </w:tc>
        <w:tc>
          <w:tcPr>
            <w:tcW w:type="dxa" w:w="785"/>
          </w:tcPr>
          <w:p>
            <w:r>
              <w:rPr>
                <w:sz w:val="17"/>
              </w:rPr>
            </w:r>
            <w:r>
              <w:rPr>
                <w:sz w:val="17"/>
              </w:rPr>
              <w:t>1,064</w:t>
            </w:r>
          </w:p>
        </w:tc>
        <w:tc>
          <w:tcPr>
            <w:tcW w:type="dxa" w:w="785"/>
          </w:tcPr>
          <w:p>
            <w:r>
              <w:rPr>
                <w:sz w:val="17"/>
              </w:rPr>
            </w:r>
            <w:r>
              <w:rPr>
                <w:sz w:val="17"/>
              </w:rPr>
              <w:t>2,822</w:t>
            </w:r>
          </w:p>
        </w:tc>
        <w:tc>
          <w:tcPr>
            <w:tcW w:type="dxa" w:w="785"/>
          </w:tcPr>
          <w:p>
            <w:r>
              <w:rPr>
                <w:sz w:val="17"/>
              </w:rPr>
            </w:r>
            <w:r>
              <w:rPr>
                <w:sz w:val="17"/>
              </w:rPr>
              <w:t>5,039</w:t>
            </w:r>
          </w:p>
        </w:tc>
        <w:tc>
          <w:tcPr>
            <w:tcW w:type="dxa" w:w="785"/>
          </w:tcPr>
          <w:p>
            <w:r>
              <w:rPr>
                <w:sz w:val="17"/>
              </w:rPr>
            </w:r>
            <w:r>
              <w:rPr>
                <w:sz w:val="17"/>
              </w:rPr>
              <w:t>5,966</w:t>
            </w:r>
          </w:p>
        </w:tc>
        <w:tc>
          <w:tcPr>
            <w:tcW w:type="dxa" w:w="785"/>
          </w:tcPr>
          <w:p>
            <w:r>
              <w:rPr>
                <w:sz w:val="17"/>
              </w:rPr>
            </w:r>
            <w:r>
              <w:rPr>
                <w:sz w:val="17"/>
              </w:rPr>
              <w:t>6,573</w:t>
            </w:r>
          </w:p>
        </w:tc>
        <w:tc>
          <w:tcPr>
            <w:tcW w:type="dxa" w:w="785"/>
          </w:tcPr>
          <w:p>
            <w:r>
              <w:rPr>
                <w:sz w:val="17"/>
              </w:rPr>
            </w:r>
            <w:r>
              <w:rPr>
                <w:sz w:val="17"/>
              </w:rPr>
              <w:t>6,598</w:t>
            </w:r>
          </w:p>
        </w:tc>
        <w:tc>
          <w:tcPr>
            <w:tcW w:type="dxa" w:w="785"/>
          </w:tcPr>
          <w:p>
            <w:r>
              <w:rPr>
                <w:sz w:val="17"/>
              </w:rPr>
            </w:r>
            <w:r>
              <w:rPr>
                <w:sz w:val="17"/>
              </w:rPr>
              <w:t>6,298</w:t>
            </w:r>
          </w:p>
        </w:tc>
        <w:tc>
          <w:tcPr>
            <w:tcW w:type="dxa" w:w="785"/>
          </w:tcPr>
          <w:p>
            <w:r>
              <w:rPr>
                <w:sz w:val="17"/>
              </w:rPr>
            </w:r>
            <w:r>
              <w:rPr>
                <w:sz w:val="17"/>
              </w:rPr>
              <w:t>5,821</w:t>
            </w:r>
          </w:p>
        </w:tc>
      </w:tr>
    </w:tbl>
    <w:p/>
    <w:p>
      <w:pPr>
        <w:jc w:val="both"/>
      </w:pPr>
      <w:r>
        <w:rPr>
          <w:b/>
        </w:rPr>
        <w:t>Peak funding requirement — RUB 1,701 mn</w:t>
      </w:r>
      <w:r>
        <w:t xml:space="preserve"> (the largest negative cumulative cash flow). The starting round of RUB 1,800 mn covers 106% of it.</w:t>
      </w:r>
    </w:p>
    <w:p>
      <w:pPr>
        <w:pStyle w:val="Heading2"/>
      </w:pPr>
      <w:r>
        <w:t>Sheet 5. Enterprise value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Parameter</w:t>
            </w:r>
          </w:p>
        </w:tc>
        <w:tc>
          <w:tcPr>
            <w:tcW w:type="dxa" w:w="4320"/>
          </w:tcPr>
          <w:p>
            <w:r>
              <w:rPr>
                <w:b/>
                <w:sz w:val="17"/>
              </w:rPr>
            </w:r>
            <w:r>
              <w:rPr>
                <w:b/>
                <w:sz w:val="17"/>
              </w:rPr>
              <w:t>Value</w:t>
            </w:r>
          </w:p>
        </w:tc>
      </w:tr>
      <w:tr>
        <w:tc>
          <w:tcPr>
            <w:tcW w:type="dxa" w:w="4320"/>
          </w:tcPr>
          <w:p>
            <w:r>
              <w:rPr>
                <w:sz w:val="17"/>
              </w:rPr>
            </w:r>
            <w:r>
              <w:rPr>
                <w:sz w:val="17"/>
              </w:rPr>
              <w:t>Sum of discounted cash flows over 10 years</w:t>
            </w:r>
          </w:p>
        </w:tc>
        <w:tc>
          <w:tcPr>
            <w:tcW w:type="dxa" w:w="4320"/>
          </w:tcPr>
          <w:p>
            <w:r>
              <w:rPr>
                <w:sz w:val="17"/>
              </w:rPr>
            </w:r>
            <w:r>
              <w:rPr>
                <w:sz w:val="17"/>
              </w:rPr>
              <w:t>38,988</w:t>
            </w:r>
          </w:p>
        </w:tc>
      </w:tr>
      <w:tr>
        <w:tc>
          <w:tcPr>
            <w:tcW w:type="dxa" w:w="4320"/>
          </w:tcPr>
          <w:p>
            <w:r>
              <w:rPr>
                <w:sz w:val="17"/>
              </w:rPr>
            </w:r>
            <w:r>
              <w:rPr>
                <w:sz w:val="17"/>
              </w:rPr>
              <w:t>Normalised cash flow for the terminal period</w:t>
            </w:r>
          </w:p>
        </w:tc>
        <w:tc>
          <w:tcPr>
            <w:tcW w:type="dxa" w:w="4320"/>
          </w:tcPr>
          <w:p>
            <w:r>
              <w:rPr>
                <w:sz w:val="17"/>
              </w:rPr>
            </w:r>
            <w:r>
              <w:rPr>
                <w:sz w:val="17"/>
              </w:rPr>
              <w:t>78,715</w:t>
            </w:r>
          </w:p>
        </w:tc>
      </w:tr>
      <w:tr>
        <w:tc>
          <w:tcPr>
            <w:tcW w:type="dxa" w:w="4320"/>
          </w:tcPr>
          <w:p>
            <w:r>
              <w:rPr>
                <w:sz w:val="17"/>
              </w:rPr>
            </w:r>
            <w:r>
              <w:rPr>
                <w:sz w:val="17"/>
              </w:rPr>
              <w:t>Terminal value at the end of the horizon</w:t>
            </w:r>
          </w:p>
        </w:tc>
        <w:tc>
          <w:tcPr>
            <w:tcW w:type="dxa" w:w="4320"/>
          </w:tcPr>
          <w:p>
            <w:r>
              <w:rPr>
                <w:sz w:val="17"/>
              </w:rPr>
            </w:r>
            <w:r>
              <w:rPr>
                <w:sz w:val="17"/>
              </w:rPr>
              <w:t>320,035</w:t>
            </w:r>
          </w:p>
        </w:tc>
      </w:tr>
      <w:tr>
        <w:tc>
          <w:tcPr>
            <w:tcW w:type="dxa" w:w="4320"/>
          </w:tcPr>
          <w:p>
            <w:r>
              <w:rPr>
                <w:sz w:val="17"/>
              </w:rPr>
            </w:r>
            <w:r>
              <w:rPr>
                <w:sz w:val="17"/>
              </w:rPr>
              <w:t>Discounted terminal value</w:t>
            </w:r>
          </w:p>
        </w:tc>
        <w:tc>
          <w:tcPr>
            <w:tcW w:type="dxa" w:w="4320"/>
          </w:tcPr>
          <w:p>
            <w:r>
              <w:rPr>
                <w:sz w:val="17"/>
              </w:rPr>
            </w:r>
            <w:r>
              <w:rPr>
                <w:sz w:val="17"/>
              </w:rPr>
              <w:t>23,979</w:t>
            </w:r>
          </w:p>
        </w:tc>
      </w:tr>
      <w:tr>
        <w:tc>
          <w:tcPr>
            <w:tcW w:type="dxa" w:w="4320"/>
          </w:tcPr>
          <w:p>
            <w:r>
              <w:rPr>
                <w:sz w:val="17"/>
              </w:rPr>
            </w:r>
            <w:r>
              <w:rPr>
                <w:sz w:val="17"/>
              </w:rPr>
              <w:t>Share of terminal value in enterprise value</w:t>
            </w:r>
          </w:p>
        </w:tc>
        <w:tc>
          <w:tcPr>
            <w:tcW w:type="dxa" w:w="4320"/>
          </w:tcPr>
          <w:p>
            <w:r>
              <w:rPr>
                <w:sz w:val="17"/>
              </w:rPr>
            </w:r>
            <w:r>
              <w:rPr>
                <w:sz w:val="17"/>
              </w:rPr>
              <w:t>38%</w:t>
            </w:r>
          </w:p>
        </w:tc>
      </w:tr>
      <w:tr>
        <w:tc>
          <w:tcPr>
            <w:tcW w:type="dxa" w:w="4320"/>
          </w:tcPr>
          <w:p>
            <w:r>
              <w:rPr>
                <w:sz w:val="17"/>
              </w:rPr>
            </w:r>
            <w:r>
              <w:rPr>
                <w:b/>
                <w:sz w:val="17"/>
              </w:rPr>
              <w:t>Enterprise value</w:t>
            </w:r>
          </w:p>
        </w:tc>
        <w:tc>
          <w:tcPr>
            <w:tcW w:type="dxa" w:w="4320"/>
          </w:tcPr>
          <w:p>
            <w:r>
              <w:rPr>
                <w:sz w:val="17"/>
              </w:rPr>
            </w:r>
            <w:r>
              <w:rPr>
                <w:b/>
                <w:sz w:val="17"/>
              </w:rPr>
              <w:t>62,967</w:t>
            </w:r>
          </w:p>
        </w:tc>
      </w:tr>
      <w:tr>
        <w:tc>
          <w:tcPr>
            <w:tcW w:type="dxa" w:w="4320"/>
          </w:tcPr>
          <w:p>
            <w:r>
              <w:rPr>
                <w:sz w:val="17"/>
              </w:rPr>
            </w:r>
            <w:r>
              <w:rPr>
                <w:sz w:val="17"/>
              </w:rPr>
              <w:t>The same in US dollars at a rate of 71.55</w:t>
            </w:r>
          </w:p>
        </w:tc>
        <w:tc>
          <w:tcPr>
            <w:tcW w:type="dxa" w:w="4320"/>
          </w:tcPr>
          <w:p>
            <w:r>
              <w:rPr>
                <w:sz w:val="17"/>
              </w:rPr>
            </w:r>
            <w:r>
              <w:rPr>
                <w:sz w:val="17"/>
              </w:rPr>
              <w:t>≈ 880</w:t>
            </w:r>
          </w:p>
        </w:tc>
      </w:tr>
      <w:tr>
        <w:tc>
          <w:tcPr>
            <w:tcW w:type="dxa" w:w="4320"/>
          </w:tcPr>
          <w:p>
            <w:r>
              <w:rPr>
                <w:sz w:val="17"/>
              </w:rPr>
            </w:r>
            <w:r>
              <w:rPr>
                <w:sz w:val="17"/>
              </w:rPr>
              <w:t>Project internal rate of return</w:t>
            </w:r>
          </w:p>
        </w:tc>
        <w:tc>
          <w:tcPr>
            <w:tcW w:type="dxa" w:w="4320"/>
          </w:tcPr>
          <w:p>
            <w:r>
              <w:rPr>
                <w:sz w:val="17"/>
              </w:rPr>
            </w:r>
            <w:r>
              <w:rPr>
                <w:sz w:val="17"/>
              </w:rPr>
              <w:t>182.1%</w:t>
            </w:r>
          </w:p>
        </w:tc>
      </w:tr>
      <w:tr>
        <w:tc>
          <w:tcPr>
            <w:tcW w:type="dxa" w:w="4320"/>
          </w:tcPr>
          <w:p>
            <w:r>
              <w:rPr>
                <w:sz w:val="17"/>
              </w:rPr>
            </w:r>
            <w:r>
              <w:rPr>
                <w:sz w:val="17"/>
              </w:rPr>
              <w:t>Simple payback</w:t>
            </w:r>
          </w:p>
        </w:tc>
        <w:tc>
          <w:tcPr>
            <w:tcW w:type="dxa" w:w="4320"/>
          </w:tcPr>
          <w:p>
            <w:r>
              <w:rPr>
                <w:sz w:val="17"/>
              </w:rPr>
            </w:r>
            <w:r>
              <w:rPr>
                <w:sz w:val="17"/>
              </w:rPr>
              <w:t>2.73 years</w:t>
            </w:r>
          </w:p>
        </w:tc>
      </w:tr>
      <w:tr>
        <w:tc>
          <w:tcPr>
            <w:tcW w:type="dxa" w:w="4320"/>
          </w:tcPr>
          <w:p>
            <w:r>
              <w:rPr>
                <w:sz w:val="17"/>
              </w:rPr>
            </w:r>
            <w:r>
              <w:rPr>
                <w:sz w:val="17"/>
              </w:rPr>
              <w:t>Discounted payback</w:t>
            </w:r>
          </w:p>
        </w:tc>
        <w:tc>
          <w:tcPr>
            <w:tcW w:type="dxa" w:w="4320"/>
          </w:tcPr>
          <w:p>
            <w:r>
              <w:rPr>
                <w:sz w:val="17"/>
              </w:rPr>
            </w:r>
            <w:r>
              <w:rPr>
                <w:sz w:val="17"/>
              </w:rPr>
              <w:t>3.05 years</w:t>
            </w:r>
          </w:p>
        </w:tc>
      </w:tr>
    </w:tbl>
    <w:p/>
    <w:p>
      <w:pPr>
        <w:ind w:left="360"/>
      </w:pPr>
      <w:r>
        <w:rPr>
          <w:b/>
          <w:i/>
          <w:color w:val="444444"/>
        </w:rPr>
        <w:t>Caveat on the internal rate of return.</w:t>
      </w:r>
      <w:r>
        <w:rPr>
          <w:i/>
          <w:color w:val="444444"/>
        </w:rPr>
        <w:t xml:space="preserve"> The value of 182% is obtained on project cash flows where the inputs are small (a peak of RUB 1,701 mn) while the mature flows run to tens of billions. Such a return is not an advantage of the project: it shows that the model does not reflect the full cost of entering this market — the capital of an information-system operator, reserves, the cost of acquiring pledgors. The figure is given for completeness; negotiations should rest on enterprise value and on the investor calculation (Sheet 8).</w:t>
      </w:r>
    </w:p>
    <w:p>
      <w:pPr>
        <w:pStyle w:val="Heading2"/>
      </w:pPr>
      <w:r>
        <w:t>Sheet 6. Scenarios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Scenario</w:t>
            </w:r>
          </w:p>
        </w:tc>
        <w:tc>
          <w:tcPr>
            <w:tcW w:type="dxa" w:w="1440"/>
          </w:tcPr>
          <w:p>
            <w:r>
              <w:rPr>
                <w:b/>
                <w:sz w:val="17"/>
              </w:rPr>
            </w:r>
            <w:r>
              <w:rPr>
                <w:b/>
                <w:sz w:val="17"/>
              </w:rPr>
              <w:t>Market share year 10</w:t>
            </w:r>
          </w:p>
        </w:tc>
        <w:tc>
          <w:tcPr>
            <w:tcW w:type="dxa" w:w="1440"/>
          </w:tcPr>
          <w:p>
            <w:r>
              <w:rPr>
                <w:b/>
                <w:sz w:val="17"/>
              </w:rPr>
            </w:r>
            <w:r>
              <w:rPr>
                <w:b/>
                <w:sz w:val="17"/>
              </w:rPr>
              <w:t>Weight</w:t>
            </w:r>
          </w:p>
        </w:tc>
        <w:tc>
          <w:tcPr>
            <w:tcW w:type="dxa" w:w="1440"/>
          </w:tcPr>
          <w:p>
            <w:r>
              <w:rPr>
                <w:b/>
                <w:sz w:val="17"/>
              </w:rPr>
            </w:r>
            <w:r>
              <w:rPr>
                <w:b/>
                <w:sz w:val="17"/>
              </w:rPr>
              <w:t>Revenue year 10, RUB mn</w:t>
            </w:r>
          </w:p>
        </w:tc>
        <w:tc>
          <w:tcPr>
            <w:tcW w:type="dxa" w:w="1440"/>
          </w:tcPr>
          <w:p>
            <w:r>
              <w:rPr>
                <w:b/>
                <w:sz w:val="17"/>
              </w:rPr>
            </w:r>
            <w:r>
              <w:rPr>
                <w:b/>
                <w:sz w:val="17"/>
              </w:rPr>
              <w:t>Enterprise value, RUB bn</w:t>
            </w:r>
          </w:p>
        </w:tc>
        <w:tc>
          <w:tcPr>
            <w:tcW w:type="dxa" w:w="1440"/>
          </w:tcPr>
          <w:p>
            <w:r>
              <w:rPr>
                <w:b/>
                <w:sz w:val="17"/>
              </w:rPr>
            </w:r>
            <w:r>
              <w:rPr>
                <w:b/>
                <w:sz w:val="17"/>
              </w:rPr>
              <w:t>Payback, years</w:t>
            </w:r>
          </w:p>
        </w:tc>
      </w:tr>
      <w:tr>
        <w:tc>
          <w:tcPr>
            <w:tcW w:type="dxa" w:w="1440"/>
          </w:tcPr>
          <w:p>
            <w:r>
              <w:rPr>
                <w:sz w:val="17"/>
              </w:rPr>
            </w:r>
            <w:r>
              <w:rPr>
                <w:sz w:val="17"/>
              </w:rPr>
              <w:t>Conservative</w:t>
            </w:r>
          </w:p>
        </w:tc>
        <w:tc>
          <w:tcPr>
            <w:tcW w:type="dxa" w:w="1440"/>
          </w:tcPr>
          <w:p>
            <w:r>
              <w:rPr>
                <w:sz w:val="17"/>
              </w:rPr>
            </w:r>
            <w:r>
              <w:rPr>
                <w:sz w:val="17"/>
              </w:rPr>
              <w:t>7%</w:t>
            </w:r>
          </w:p>
        </w:tc>
        <w:tc>
          <w:tcPr>
            <w:tcW w:type="dxa" w:w="1440"/>
          </w:tcPr>
          <w:p>
            <w:r>
              <w:rPr>
                <w:sz w:val="17"/>
              </w:rPr>
            </w:r>
            <w:r>
              <w:rPr>
                <w:sz w:val="17"/>
              </w:rPr>
              <w:t>15%</w:t>
            </w:r>
          </w:p>
        </w:tc>
        <w:tc>
          <w:tcPr>
            <w:tcW w:type="dxa" w:w="1440"/>
          </w:tcPr>
          <w:p>
            <w:r>
              <w:rPr>
                <w:sz w:val="17"/>
              </w:rPr>
            </w:r>
            <w:r>
              <w:rPr>
                <w:sz w:val="17"/>
              </w:rPr>
              <w:t>56,164</w:t>
            </w:r>
          </w:p>
        </w:tc>
        <w:tc>
          <w:tcPr>
            <w:tcW w:type="dxa" w:w="1440"/>
          </w:tcPr>
          <w:p>
            <w:r>
              <w:rPr>
                <w:sz w:val="17"/>
              </w:rPr>
            </w:r>
            <w:r>
              <w:rPr>
                <w:sz w:val="17"/>
              </w:rPr>
              <w:t>20.1</w:t>
            </w:r>
          </w:p>
        </w:tc>
        <w:tc>
          <w:tcPr>
            <w:tcW w:type="dxa" w:w="1440"/>
          </w:tcPr>
          <w:p>
            <w:r>
              <w:rPr>
                <w:sz w:val="17"/>
              </w:rPr>
            </w:r>
            <w:r>
              <w:rPr>
                <w:sz w:val="17"/>
              </w:rPr>
              <w:t>3.94</w:t>
            </w:r>
          </w:p>
        </w:tc>
      </w:tr>
      <w:tr>
        <w:tc>
          <w:tcPr>
            <w:tcW w:type="dxa" w:w="1440"/>
          </w:tcPr>
          <w:p>
            <w:r>
              <w:rPr>
                <w:sz w:val="17"/>
              </w:rPr>
            </w:r>
            <w:r>
              <w:rPr>
                <w:sz w:val="17"/>
              </w:rPr>
              <w:t>Base</w:t>
            </w:r>
          </w:p>
        </w:tc>
        <w:tc>
          <w:tcPr>
            <w:tcW w:type="dxa" w:w="1440"/>
          </w:tcPr>
          <w:p>
            <w:r>
              <w:rPr>
                <w:sz w:val="17"/>
              </w:rPr>
            </w:r>
            <w:r>
              <w:rPr>
                <w:sz w:val="17"/>
              </w:rPr>
              <w:t>18%</w:t>
            </w:r>
          </w:p>
        </w:tc>
        <w:tc>
          <w:tcPr>
            <w:tcW w:type="dxa" w:w="1440"/>
          </w:tcPr>
          <w:p>
            <w:r>
              <w:rPr>
                <w:sz w:val="17"/>
              </w:rPr>
            </w:r>
            <w:r>
              <w:rPr>
                <w:sz w:val="17"/>
              </w:rPr>
              <w:t>55%</w:t>
            </w:r>
          </w:p>
        </w:tc>
        <w:tc>
          <w:tcPr>
            <w:tcW w:type="dxa" w:w="1440"/>
          </w:tcPr>
          <w:p>
            <w:r>
              <w:rPr>
                <w:sz w:val="17"/>
              </w:rPr>
            </w:r>
            <w:r>
              <w:rPr>
                <w:sz w:val="17"/>
              </w:rPr>
              <w:t>142,615</w:t>
            </w:r>
          </w:p>
        </w:tc>
        <w:tc>
          <w:tcPr>
            <w:tcW w:type="dxa" w:w="1440"/>
          </w:tcPr>
          <w:p>
            <w:r>
              <w:rPr>
                <w:sz w:val="17"/>
              </w:rPr>
            </w:r>
            <w:r>
              <w:rPr>
                <w:sz w:val="17"/>
              </w:rPr>
              <w:t>63.0</w:t>
            </w:r>
          </w:p>
        </w:tc>
        <w:tc>
          <w:tcPr>
            <w:tcW w:type="dxa" w:w="1440"/>
          </w:tcPr>
          <w:p>
            <w:r>
              <w:rPr>
                <w:sz w:val="17"/>
              </w:rPr>
            </w:r>
            <w:r>
              <w:rPr>
                <w:sz w:val="17"/>
              </w:rPr>
              <w:t>2.73</w:t>
            </w:r>
          </w:p>
        </w:tc>
      </w:tr>
      <w:tr>
        <w:tc>
          <w:tcPr>
            <w:tcW w:type="dxa" w:w="1440"/>
          </w:tcPr>
          <w:p>
            <w:r>
              <w:rPr>
                <w:sz w:val="17"/>
              </w:rPr>
            </w:r>
            <w:r>
              <w:rPr>
                <w:sz w:val="17"/>
              </w:rPr>
              <w:t>Optimistic</w:t>
            </w:r>
          </w:p>
        </w:tc>
        <w:tc>
          <w:tcPr>
            <w:tcW w:type="dxa" w:w="1440"/>
          </w:tcPr>
          <w:p>
            <w:r>
              <w:rPr>
                <w:sz w:val="17"/>
              </w:rPr>
            </w:r>
            <w:r>
              <w:rPr>
                <w:sz w:val="17"/>
              </w:rPr>
              <w:t>25%</w:t>
            </w:r>
          </w:p>
        </w:tc>
        <w:tc>
          <w:tcPr>
            <w:tcW w:type="dxa" w:w="1440"/>
          </w:tcPr>
          <w:p>
            <w:r>
              <w:rPr>
                <w:sz w:val="17"/>
              </w:rPr>
            </w:r>
            <w:r>
              <w:rPr>
                <w:sz w:val="17"/>
              </w:rPr>
              <w:t>30%</w:t>
            </w:r>
          </w:p>
        </w:tc>
        <w:tc>
          <w:tcPr>
            <w:tcW w:type="dxa" w:w="1440"/>
          </w:tcPr>
          <w:p>
            <w:r>
              <w:rPr>
                <w:sz w:val="17"/>
              </w:rPr>
            </w:r>
            <w:r>
              <w:rPr>
                <w:sz w:val="17"/>
              </w:rPr>
              <w:t>197,629</w:t>
            </w:r>
          </w:p>
        </w:tc>
        <w:tc>
          <w:tcPr>
            <w:tcW w:type="dxa" w:w="1440"/>
          </w:tcPr>
          <w:p>
            <w:r>
              <w:rPr>
                <w:sz w:val="17"/>
              </w:rPr>
            </w:r>
            <w:r>
              <w:rPr>
                <w:sz w:val="17"/>
              </w:rPr>
              <w:t>90.2</w:t>
            </w:r>
          </w:p>
        </w:tc>
        <w:tc>
          <w:tcPr>
            <w:tcW w:type="dxa" w:w="1440"/>
          </w:tcPr>
          <w:p>
            <w:r>
              <w:rPr>
                <w:sz w:val="17"/>
              </w:rPr>
            </w:r>
            <w:r>
              <w:rPr>
                <w:sz w:val="17"/>
              </w:rPr>
              <w:t>2.38</w:t>
            </w:r>
          </w:p>
        </w:tc>
      </w:tr>
      <w:tr>
        <w:tc>
          <w:tcPr>
            <w:tcW w:type="dxa" w:w="1440"/>
          </w:tcPr>
          <w:p>
            <w:r>
              <w:rPr>
                <w:sz w:val="17"/>
              </w:rPr>
            </w:r>
            <w:r>
              <w:rPr>
                <w:b/>
                <w:sz w:val="17"/>
              </w:rPr>
              <w:t>Expected value</w:t>
            </w:r>
          </w:p>
        </w:tc>
        <w:tc>
          <w:tcPr>
            <w:tcW w:type="dxa" w:w="1440"/>
          </w:tcPr>
          <w:p>
            <w:r>
              <w:rPr>
                <w:sz w:val="17"/>
              </w:rPr>
            </w:r>
            <w:r>
              <w:rPr>
                <w:sz w:val="17"/>
              </w:rPr>
              <w:t>—</w:t>
            </w:r>
          </w:p>
        </w:tc>
        <w:tc>
          <w:tcPr>
            <w:tcW w:type="dxa" w:w="1440"/>
          </w:tcPr>
          <w:p>
            <w:r>
              <w:rPr>
                <w:sz w:val="17"/>
              </w:rPr>
            </w:r>
            <w:r>
              <w:rPr>
                <w:sz w:val="17"/>
              </w:rPr>
              <w:t>100%</w:t>
            </w:r>
          </w:p>
        </w:tc>
        <w:tc>
          <w:tcPr>
            <w:tcW w:type="dxa" w:w="1440"/>
          </w:tcPr>
          <w:p>
            <w:r>
              <w:rPr>
                <w:sz w:val="17"/>
              </w:rPr>
            </w:r>
            <w:r>
              <w:rPr>
                <w:sz w:val="17"/>
              </w:rPr>
              <w:t>—</w:t>
            </w:r>
          </w:p>
        </w:tc>
        <w:tc>
          <w:tcPr>
            <w:tcW w:type="dxa" w:w="1440"/>
          </w:tcPr>
          <w:p>
            <w:r>
              <w:rPr>
                <w:sz w:val="17"/>
              </w:rPr>
            </w:r>
            <w:r>
              <w:rPr>
                <w:b/>
                <w:sz w:val="17"/>
              </w:rPr>
              <w:t>64.7</w:t>
            </w:r>
          </w:p>
        </w:tc>
        <w:tc>
          <w:tcPr>
            <w:tcW w:type="dxa" w:w="1440"/>
          </w:tcPr>
          <w:p>
            <w:r>
              <w:rPr>
                <w:sz w:val="17"/>
              </w:rPr>
            </w:r>
            <w:r>
              <w:rPr>
                <w:sz w:val="17"/>
              </w:rPr>
              <w:t>—</w:t>
            </w:r>
          </w:p>
        </w:tc>
      </w:tr>
    </w:tbl>
    <w:p/>
    <w:p>
      <w:pPr>
        <w:jc w:val="both"/>
      </w:pPr>
      <w:r>
        <w:t>Scenarios differ only in the target market share in year ten; the trajectory is scaled proportionally. The weights are set by the author of the project.</w:t>
      </w:r>
    </w:p>
    <w:p>
      <w:pPr>
        <w:pStyle w:val="Heading2"/>
      </w:pPr>
      <w:r>
        <w:t>Sheet 7. Sensitivity</w:t>
      </w:r>
    </w:p>
    <w:p>
      <w:pPr>
        <w:pStyle w:val="Heading3"/>
      </w:pPr>
      <w:r>
        <w:t>7.1. Discount rate and market share</w:t>
      </w:r>
    </w:p>
    <w:p>
      <w:pPr>
        <w:jc w:val="both"/>
      </w:pPr>
      <w:r>
        <w:t>Enterprise value, RUB mn.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WACC \\ market share year 10</w:t>
            </w:r>
          </w:p>
        </w:tc>
        <w:tc>
          <w:tcPr>
            <w:tcW w:type="dxa" w:w="1440"/>
          </w:tcPr>
          <w:p>
            <w:r>
              <w:rPr>
                <w:b/>
                <w:sz w:val="17"/>
              </w:rPr>
            </w:r>
            <w:r>
              <w:rPr>
                <w:b/>
                <w:sz w:val="17"/>
              </w:rPr>
              <w:t>9.0%</w:t>
            </w:r>
          </w:p>
        </w:tc>
        <w:tc>
          <w:tcPr>
            <w:tcW w:type="dxa" w:w="1440"/>
          </w:tcPr>
          <w:p>
            <w:r>
              <w:rPr>
                <w:b/>
                <w:sz w:val="17"/>
              </w:rPr>
            </w:r>
            <w:r>
              <w:rPr>
                <w:b/>
                <w:sz w:val="17"/>
              </w:rPr>
              <w:t>13.5%</w:t>
            </w:r>
          </w:p>
        </w:tc>
        <w:tc>
          <w:tcPr>
            <w:tcW w:type="dxa" w:w="1440"/>
          </w:tcPr>
          <w:p>
            <w:r>
              <w:rPr>
                <w:b/>
                <w:sz w:val="17"/>
              </w:rPr>
            </w:r>
            <w:r>
              <w:rPr>
                <w:b/>
                <w:sz w:val="17"/>
              </w:rPr>
              <w:t>18.0%</w:t>
            </w:r>
          </w:p>
        </w:tc>
        <w:tc>
          <w:tcPr>
            <w:tcW w:type="dxa" w:w="1440"/>
          </w:tcPr>
          <w:p>
            <w:r>
              <w:rPr>
                <w:b/>
                <w:sz w:val="17"/>
              </w:rPr>
            </w:r>
            <w:r>
              <w:rPr>
                <w:b/>
                <w:sz w:val="17"/>
              </w:rPr>
              <w:t>22.5%</w:t>
            </w:r>
          </w:p>
        </w:tc>
        <w:tc>
          <w:tcPr>
            <w:tcW w:type="dxa" w:w="1440"/>
          </w:tcPr>
          <w:p>
            <w:r>
              <w:rPr>
                <w:b/>
                <w:sz w:val="17"/>
              </w:rPr>
            </w:r>
            <w:r>
              <w:rPr>
                <w:b/>
                <w:sz w:val="17"/>
              </w:rPr>
              <w:t>27.0%</w:t>
            </w:r>
          </w:p>
        </w:tc>
      </w:tr>
      <w:tr>
        <w:tc>
          <w:tcPr>
            <w:tcW w:type="dxa" w:w="1440"/>
          </w:tcPr>
          <w:p>
            <w:r>
              <w:rPr>
                <w:sz w:val="17"/>
              </w:rPr>
            </w:r>
            <w:r>
              <w:rPr>
                <w:sz w:val="17"/>
              </w:rPr>
              <w:t>26.50%</w:t>
            </w:r>
          </w:p>
        </w:tc>
        <w:tc>
          <w:tcPr>
            <w:tcW w:type="dxa" w:w="1440"/>
          </w:tcPr>
          <w:p>
            <w:r>
              <w:rPr>
                <w:sz w:val="17"/>
              </w:rPr>
            </w:r>
            <w:r>
              <w:rPr>
                <w:sz w:val="17"/>
              </w:rPr>
              <w:t>36,389</w:t>
            </w:r>
          </w:p>
        </w:tc>
        <w:tc>
          <w:tcPr>
            <w:tcW w:type="dxa" w:w="1440"/>
          </w:tcPr>
          <w:p>
            <w:r>
              <w:rPr>
                <w:sz w:val="17"/>
              </w:rPr>
            </w:r>
            <w:r>
              <w:rPr>
                <w:sz w:val="17"/>
              </w:rPr>
              <w:t>58,836</w:t>
            </w:r>
          </w:p>
        </w:tc>
        <w:tc>
          <w:tcPr>
            <w:tcW w:type="dxa" w:w="1440"/>
          </w:tcPr>
          <w:p>
            <w:r>
              <w:rPr>
                <w:sz w:val="17"/>
              </w:rPr>
            </w:r>
            <w:r>
              <w:rPr>
                <w:sz w:val="17"/>
              </w:rPr>
              <w:t>81,267</w:t>
            </w:r>
          </w:p>
        </w:tc>
        <w:tc>
          <w:tcPr>
            <w:tcW w:type="dxa" w:w="1440"/>
          </w:tcPr>
          <w:p>
            <w:r>
              <w:rPr>
                <w:sz w:val="17"/>
              </w:rPr>
            </w:r>
            <w:r>
              <w:rPr>
                <w:sz w:val="17"/>
              </w:rPr>
              <w:t>103,692</w:t>
            </w:r>
          </w:p>
        </w:tc>
        <w:tc>
          <w:tcPr>
            <w:tcW w:type="dxa" w:w="1440"/>
          </w:tcPr>
          <w:p>
            <w:r>
              <w:rPr>
                <w:sz w:val="17"/>
              </w:rPr>
            </w:r>
            <w:r>
              <w:rPr>
                <w:sz w:val="17"/>
              </w:rPr>
              <w:t>126,114</w:t>
            </w:r>
          </w:p>
        </w:tc>
      </w:tr>
      <w:tr>
        <w:tc>
          <w:tcPr>
            <w:tcW w:type="dxa" w:w="1440"/>
          </w:tcPr>
          <w:p>
            <w:r>
              <w:rPr>
                <w:sz w:val="17"/>
              </w:rPr>
            </w:r>
            <w:r>
              <w:rPr>
                <w:sz w:val="17"/>
              </w:rPr>
              <w:t>28.00%</w:t>
            </w:r>
          </w:p>
        </w:tc>
        <w:tc>
          <w:tcPr>
            <w:tcW w:type="dxa" w:w="1440"/>
          </w:tcPr>
          <w:p>
            <w:r>
              <w:rPr>
                <w:sz w:val="17"/>
              </w:rPr>
            </w:r>
            <w:r>
              <w:rPr>
                <w:sz w:val="17"/>
              </w:rPr>
              <w:t>31,874</w:t>
            </w:r>
          </w:p>
        </w:tc>
        <w:tc>
          <w:tcPr>
            <w:tcW w:type="dxa" w:w="1440"/>
          </w:tcPr>
          <w:p>
            <w:r>
              <w:rPr>
                <w:sz w:val="17"/>
              </w:rPr>
            </w:r>
            <w:r>
              <w:rPr>
                <w:sz w:val="17"/>
              </w:rPr>
              <w:t>51,735</w:t>
            </w:r>
          </w:p>
        </w:tc>
        <w:tc>
          <w:tcPr>
            <w:tcW w:type="dxa" w:w="1440"/>
          </w:tcPr>
          <w:p>
            <w:r>
              <w:rPr>
                <w:sz w:val="17"/>
              </w:rPr>
            </w:r>
            <w:r>
              <w:rPr>
                <w:sz w:val="17"/>
              </w:rPr>
              <w:t>71,580</w:t>
            </w:r>
          </w:p>
        </w:tc>
        <w:tc>
          <w:tcPr>
            <w:tcW w:type="dxa" w:w="1440"/>
          </w:tcPr>
          <w:p>
            <w:r>
              <w:rPr>
                <w:sz w:val="17"/>
              </w:rPr>
            </w:r>
            <w:r>
              <w:rPr>
                <w:sz w:val="17"/>
              </w:rPr>
              <w:t>91,418</w:t>
            </w:r>
          </w:p>
        </w:tc>
        <w:tc>
          <w:tcPr>
            <w:tcW w:type="dxa" w:w="1440"/>
          </w:tcPr>
          <w:p>
            <w:r>
              <w:rPr>
                <w:sz w:val="17"/>
              </w:rPr>
            </w:r>
            <w:r>
              <w:rPr>
                <w:sz w:val="17"/>
              </w:rPr>
              <w:t>111,254</w:t>
            </w:r>
          </w:p>
        </w:tc>
      </w:tr>
      <w:tr>
        <w:tc>
          <w:tcPr>
            <w:tcW w:type="dxa" w:w="1440"/>
          </w:tcPr>
          <w:p>
            <w:r>
              <w:rPr>
                <w:sz w:val="17"/>
              </w:rPr>
            </w:r>
            <w:r>
              <w:rPr>
                <w:b/>
                <w:sz w:val="17"/>
              </w:rPr>
              <w:t>29.58%</w:t>
            </w:r>
          </w:p>
        </w:tc>
        <w:tc>
          <w:tcPr>
            <w:tcW w:type="dxa" w:w="1440"/>
          </w:tcPr>
          <w:p>
            <w:r>
              <w:rPr>
                <w:sz w:val="17"/>
              </w:rPr>
            </w:r>
            <w:r>
              <w:rPr>
                <w:sz w:val="17"/>
              </w:rPr>
              <w:t>27,869</w:t>
            </w:r>
          </w:p>
        </w:tc>
        <w:tc>
          <w:tcPr>
            <w:tcW w:type="dxa" w:w="1440"/>
          </w:tcPr>
          <w:p>
            <w:r>
              <w:rPr>
                <w:sz w:val="17"/>
              </w:rPr>
            </w:r>
            <w:r>
              <w:rPr>
                <w:sz w:val="17"/>
              </w:rPr>
              <w:t>45,426</w:t>
            </w:r>
          </w:p>
        </w:tc>
        <w:tc>
          <w:tcPr>
            <w:tcW w:type="dxa" w:w="1440"/>
          </w:tcPr>
          <w:p>
            <w:r>
              <w:rPr>
                <w:sz w:val="17"/>
              </w:rPr>
            </w:r>
            <w:r>
              <w:rPr>
                <w:sz w:val="17"/>
              </w:rPr>
              <w:t>62,967</w:t>
            </w:r>
          </w:p>
        </w:tc>
        <w:tc>
          <w:tcPr>
            <w:tcW w:type="dxa" w:w="1440"/>
          </w:tcPr>
          <w:p>
            <w:r>
              <w:rPr>
                <w:sz w:val="17"/>
              </w:rPr>
            </w:r>
            <w:r>
              <w:rPr>
                <w:sz w:val="17"/>
              </w:rPr>
              <w:t>80,501</w:t>
            </w:r>
          </w:p>
        </w:tc>
        <w:tc>
          <w:tcPr>
            <w:tcW w:type="dxa" w:w="1440"/>
          </w:tcPr>
          <w:p>
            <w:r>
              <w:rPr>
                <w:sz w:val="17"/>
              </w:rPr>
            </w:r>
            <w:r>
              <w:rPr>
                <w:sz w:val="17"/>
              </w:rPr>
              <w:t>98,033</w:t>
            </w:r>
          </w:p>
        </w:tc>
      </w:tr>
      <w:tr>
        <w:tc>
          <w:tcPr>
            <w:tcW w:type="dxa" w:w="1440"/>
          </w:tcPr>
          <w:p>
            <w:r>
              <w:rPr>
                <w:sz w:val="17"/>
              </w:rPr>
            </w:r>
            <w:r>
              <w:rPr>
                <w:sz w:val="17"/>
              </w:rPr>
              <w:t>31.00%</w:t>
            </w:r>
          </w:p>
        </w:tc>
        <w:tc>
          <w:tcPr>
            <w:tcW w:type="dxa" w:w="1440"/>
          </w:tcPr>
          <w:p>
            <w:r>
              <w:rPr>
                <w:sz w:val="17"/>
              </w:rPr>
            </w:r>
            <w:r>
              <w:rPr>
                <w:sz w:val="17"/>
              </w:rPr>
              <w:t>24,800</w:t>
            </w:r>
          </w:p>
        </w:tc>
        <w:tc>
          <w:tcPr>
            <w:tcW w:type="dxa" w:w="1440"/>
          </w:tcPr>
          <w:p>
            <w:r>
              <w:rPr>
                <w:sz w:val="17"/>
              </w:rPr>
            </w:r>
            <w:r>
              <w:rPr>
                <w:sz w:val="17"/>
              </w:rPr>
              <w:t>40,585</w:t>
            </w:r>
          </w:p>
        </w:tc>
        <w:tc>
          <w:tcPr>
            <w:tcW w:type="dxa" w:w="1440"/>
          </w:tcPr>
          <w:p>
            <w:r>
              <w:rPr>
                <w:sz w:val="17"/>
              </w:rPr>
            </w:r>
            <w:r>
              <w:rPr>
                <w:sz w:val="17"/>
              </w:rPr>
              <w:t>56,352</w:t>
            </w:r>
          </w:p>
        </w:tc>
        <w:tc>
          <w:tcPr>
            <w:tcW w:type="dxa" w:w="1440"/>
          </w:tcPr>
          <w:p>
            <w:r>
              <w:rPr>
                <w:sz w:val="17"/>
              </w:rPr>
            </w:r>
            <w:r>
              <w:rPr>
                <w:sz w:val="17"/>
              </w:rPr>
              <w:t>72,114</w:t>
            </w:r>
          </w:p>
        </w:tc>
        <w:tc>
          <w:tcPr>
            <w:tcW w:type="dxa" w:w="1440"/>
          </w:tcPr>
          <w:p>
            <w:r>
              <w:rPr>
                <w:sz w:val="17"/>
              </w:rPr>
            </w:r>
            <w:r>
              <w:rPr>
                <w:sz w:val="17"/>
              </w:rPr>
              <w:t>87,872</w:t>
            </w:r>
          </w:p>
        </w:tc>
      </w:tr>
      <w:tr>
        <w:tc>
          <w:tcPr>
            <w:tcW w:type="dxa" w:w="1440"/>
          </w:tcPr>
          <w:p>
            <w:r>
              <w:rPr>
                <w:sz w:val="17"/>
              </w:rPr>
            </w:r>
            <w:r>
              <w:rPr>
                <w:sz w:val="17"/>
              </w:rPr>
              <w:t>33.00%</w:t>
            </w:r>
          </w:p>
        </w:tc>
        <w:tc>
          <w:tcPr>
            <w:tcW w:type="dxa" w:w="1440"/>
          </w:tcPr>
          <w:p>
            <w:r>
              <w:rPr>
                <w:sz w:val="17"/>
              </w:rPr>
            </w:r>
            <w:r>
              <w:rPr>
                <w:sz w:val="17"/>
              </w:rPr>
              <w:t>21,167</w:t>
            </w:r>
          </w:p>
        </w:tc>
        <w:tc>
          <w:tcPr>
            <w:tcW w:type="dxa" w:w="1440"/>
          </w:tcPr>
          <w:p>
            <w:r>
              <w:rPr>
                <w:sz w:val="17"/>
              </w:rPr>
            </w:r>
            <w:r>
              <w:rPr>
                <w:sz w:val="17"/>
              </w:rPr>
              <w:t>34,843</w:t>
            </w:r>
          </w:p>
        </w:tc>
        <w:tc>
          <w:tcPr>
            <w:tcW w:type="dxa" w:w="1440"/>
          </w:tcPr>
          <w:p>
            <w:r>
              <w:rPr>
                <w:sz w:val="17"/>
              </w:rPr>
            </w:r>
            <w:r>
              <w:rPr>
                <w:sz w:val="17"/>
              </w:rPr>
              <w:t>48,501</w:t>
            </w:r>
          </w:p>
        </w:tc>
        <w:tc>
          <w:tcPr>
            <w:tcW w:type="dxa" w:w="1440"/>
          </w:tcPr>
          <w:p>
            <w:r>
              <w:rPr>
                <w:sz w:val="17"/>
              </w:rPr>
            </w:r>
            <w:r>
              <w:rPr>
                <w:sz w:val="17"/>
              </w:rPr>
              <w:t>62,154</w:t>
            </w:r>
          </w:p>
        </w:tc>
        <w:tc>
          <w:tcPr>
            <w:tcW w:type="dxa" w:w="1440"/>
          </w:tcPr>
          <w:p>
            <w:r>
              <w:rPr>
                <w:sz w:val="17"/>
              </w:rPr>
            </w:r>
            <w:r>
              <w:rPr>
                <w:sz w:val="17"/>
              </w:rPr>
              <w:t>75,803</w:t>
            </w:r>
          </w:p>
        </w:tc>
      </w:tr>
    </w:tbl>
    <w:p/>
    <w:p>
      <w:pPr>
        <w:pStyle w:val="Heading3"/>
      </w:pPr>
      <w:r>
        <w:t>7.2. Operating costs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Deviation of costs</w:t>
            </w:r>
          </w:p>
        </w:tc>
        <w:tc>
          <w:tcPr>
            <w:tcW w:type="dxa" w:w="1440"/>
          </w:tcPr>
          <w:p>
            <w:r>
              <w:rPr>
                <w:b/>
                <w:sz w:val="17"/>
              </w:rPr>
            </w:r>
            <w:r>
              <w:rPr>
                <w:b/>
                <w:sz w:val="17"/>
              </w:rPr>
              <w:t>-10%</w:t>
            </w:r>
          </w:p>
        </w:tc>
        <w:tc>
          <w:tcPr>
            <w:tcW w:type="dxa" w:w="1440"/>
          </w:tcPr>
          <w:p>
            <w:r>
              <w:rPr>
                <w:b/>
                <w:sz w:val="17"/>
              </w:rPr>
            </w:r>
            <w:r>
              <w:rPr>
                <w:b/>
                <w:sz w:val="17"/>
              </w:rPr>
              <w:t>0%</w:t>
            </w:r>
          </w:p>
        </w:tc>
        <w:tc>
          <w:tcPr>
            <w:tcW w:type="dxa" w:w="1440"/>
          </w:tcPr>
          <w:p>
            <w:r>
              <w:rPr>
                <w:b/>
                <w:sz w:val="17"/>
              </w:rPr>
            </w:r>
            <w:r>
              <w:rPr>
                <w:b/>
                <w:sz w:val="17"/>
              </w:rPr>
              <w:t>10%</w:t>
            </w:r>
          </w:p>
        </w:tc>
        <w:tc>
          <w:tcPr>
            <w:tcW w:type="dxa" w:w="1440"/>
          </w:tcPr>
          <w:p>
            <w:r>
              <w:rPr>
                <w:b/>
                <w:sz w:val="17"/>
              </w:rPr>
            </w:r>
            <w:r>
              <w:rPr>
                <w:b/>
                <w:sz w:val="17"/>
              </w:rPr>
              <w:t>20%</w:t>
            </w:r>
          </w:p>
        </w:tc>
        <w:tc>
          <w:tcPr>
            <w:tcW w:type="dxa" w:w="1440"/>
          </w:tcPr>
          <w:p>
            <w:r>
              <w:rPr>
                <w:b/>
                <w:sz w:val="17"/>
              </w:rPr>
            </w:r>
            <w:r>
              <w:rPr>
                <w:b/>
                <w:sz w:val="17"/>
              </w:rPr>
              <w:t>30%</w:t>
            </w:r>
          </w:p>
        </w:tc>
      </w:tr>
      <w:tr>
        <w:tc>
          <w:tcPr>
            <w:tcW w:type="dxa" w:w="1440"/>
          </w:tcPr>
          <w:p>
            <w:r>
              <w:rPr>
                <w:sz w:val="17"/>
              </w:rPr>
            </w:r>
            <w:r>
              <w:rPr>
                <w:sz w:val="17"/>
              </w:rPr>
              <w:t>Enterprise value, RUB mn</w:t>
            </w:r>
          </w:p>
        </w:tc>
        <w:tc>
          <w:tcPr>
            <w:tcW w:type="dxa" w:w="1440"/>
          </w:tcPr>
          <w:p>
            <w:r>
              <w:rPr>
                <w:sz w:val="17"/>
              </w:rPr>
            </w:r>
            <w:r>
              <w:rPr>
                <w:sz w:val="17"/>
              </w:rPr>
              <w:t>65,513</w:t>
            </w:r>
          </w:p>
        </w:tc>
        <w:tc>
          <w:tcPr>
            <w:tcW w:type="dxa" w:w="1440"/>
          </w:tcPr>
          <w:p>
            <w:r>
              <w:rPr>
                <w:sz w:val="17"/>
              </w:rPr>
            </w:r>
            <w:r>
              <w:rPr>
                <w:sz w:val="17"/>
              </w:rPr>
              <w:t>62,967</w:t>
            </w:r>
          </w:p>
        </w:tc>
        <w:tc>
          <w:tcPr>
            <w:tcW w:type="dxa" w:w="1440"/>
          </w:tcPr>
          <w:p>
            <w:r>
              <w:rPr>
                <w:sz w:val="17"/>
              </w:rPr>
            </w:r>
            <w:r>
              <w:rPr>
                <w:sz w:val="17"/>
              </w:rPr>
              <w:t>60,420</w:t>
            </w:r>
          </w:p>
        </w:tc>
        <w:tc>
          <w:tcPr>
            <w:tcW w:type="dxa" w:w="1440"/>
          </w:tcPr>
          <w:p>
            <w:r>
              <w:rPr>
                <w:sz w:val="17"/>
              </w:rPr>
            </w:r>
            <w:r>
              <w:rPr>
                <w:sz w:val="17"/>
              </w:rPr>
              <w:t>57,871</w:t>
            </w:r>
          </w:p>
        </w:tc>
        <w:tc>
          <w:tcPr>
            <w:tcW w:type="dxa" w:w="1440"/>
          </w:tcPr>
          <w:p>
            <w:r>
              <w:rPr>
                <w:sz w:val="17"/>
              </w:rPr>
            </w:r>
            <w:r>
              <w:rPr>
                <w:sz w:val="17"/>
              </w:rPr>
              <w:t>55,315</w:t>
            </w:r>
          </w:p>
        </w:tc>
      </w:tr>
    </w:tbl>
    <w:p/>
    <w:p>
      <w:pPr>
        <w:jc w:val="both"/>
      </w:pPr>
      <w:r>
        <w:t>Sensitivity to costs is low: even a 30% increase changes the valuation by 12%. This means that the entire value is determined by revenue assumptions — that is, by the market-share trajectory.</w:t>
      </w:r>
    </w:p>
    <w:p>
      <w:pPr>
        <w:pStyle w:val="Heading3"/>
      </w:pPr>
      <w:r>
        <w:t>7.3. Launch delay — the principal risk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Delay of the first issue</w:t>
            </w:r>
          </w:p>
        </w:tc>
        <w:tc>
          <w:tcPr>
            <w:tcW w:type="dxa" w:w="1728"/>
          </w:tcPr>
          <w:p>
            <w:r>
              <w:rPr>
                <w:b/>
                <w:sz w:val="17"/>
              </w:rPr>
            </w:r>
            <w:r>
              <w:rPr>
                <w:b/>
                <w:sz w:val="17"/>
              </w:rPr>
              <w:t>First year with issuance</w:t>
            </w:r>
          </w:p>
        </w:tc>
        <w:tc>
          <w:tcPr>
            <w:tcW w:type="dxa" w:w="1728"/>
          </w:tcPr>
          <w:p>
            <w:r>
              <w:rPr>
                <w:b/>
                <w:sz w:val="17"/>
              </w:rPr>
            </w:r>
            <w:r>
              <w:rPr>
                <w:b/>
                <w:sz w:val="17"/>
              </w:rPr>
              <w:t>Revenue year 10, RUB mn</w:t>
            </w:r>
          </w:p>
        </w:tc>
        <w:tc>
          <w:tcPr>
            <w:tcW w:type="dxa" w:w="1728"/>
          </w:tcPr>
          <w:p>
            <w:r>
              <w:rPr>
                <w:b/>
                <w:sz w:val="17"/>
              </w:rPr>
            </w:r>
            <w:r>
              <w:rPr>
                <w:b/>
                <w:sz w:val="17"/>
              </w:rPr>
              <w:t>Enterprise value, RUB bn</w:t>
            </w:r>
          </w:p>
        </w:tc>
        <w:tc>
          <w:tcPr>
            <w:tcW w:type="dxa" w:w="1728"/>
          </w:tcPr>
          <w:p>
            <w:r>
              <w:rPr>
                <w:b/>
                <w:sz w:val="17"/>
              </w:rPr>
            </w:r>
            <w:r>
              <w:rPr>
                <w:b/>
                <w:sz w:val="17"/>
              </w:rPr>
              <w:t>Peak requirement, RUB mn</w:t>
            </w:r>
          </w:p>
        </w:tc>
      </w:tr>
      <w:tr>
        <w:tc>
          <w:tcPr>
            <w:tcW w:type="dxa" w:w="1728"/>
          </w:tcPr>
          <w:p>
            <w:r>
              <w:rPr>
                <w:sz w:val="17"/>
              </w:rPr>
            </w:r>
            <w:r>
              <w:rPr>
                <w:sz w:val="17"/>
              </w:rPr>
              <w:t>none</w:t>
            </w:r>
          </w:p>
        </w:tc>
        <w:tc>
          <w:tcPr>
            <w:tcW w:type="dxa" w:w="1728"/>
          </w:tcPr>
          <w:p>
            <w:r>
              <w:rPr>
                <w:sz w:val="17"/>
              </w:rPr>
            </w:r>
            <w:r>
              <w:rPr>
                <w:sz w:val="17"/>
              </w:rPr>
              <w:t>2028</w:t>
            </w:r>
          </w:p>
        </w:tc>
        <w:tc>
          <w:tcPr>
            <w:tcW w:type="dxa" w:w="1728"/>
          </w:tcPr>
          <w:p>
            <w:r>
              <w:rPr>
                <w:sz w:val="17"/>
              </w:rPr>
            </w:r>
            <w:r>
              <w:rPr>
                <w:sz w:val="17"/>
              </w:rPr>
              <w:t>142,615</w:t>
            </w:r>
          </w:p>
        </w:tc>
        <w:tc>
          <w:tcPr>
            <w:tcW w:type="dxa" w:w="1728"/>
          </w:tcPr>
          <w:p>
            <w:r>
              <w:rPr>
                <w:sz w:val="17"/>
              </w:rPr>
            </w:r>
            <w:r>
              <w:rPr>
                <w:sz w:val="17"/>
              </w:rPr>
              <w:t>63.0</w:t>
            </w:r>
          </w:p>
        </w:tc>
        <w:tc>
          <w:tcPr>
            <w:tcW w:type="dxa" w:w="1728"/>
          </w:tcPr>
          <w:p>
            <w:r>
              <w:rPr>
                <w:sz w:val="17"/>
              </w:rPr>
            </w:r>
            <w:r>
              <w:rPr>
                <w:sz w:val="17"/>
              </w:rPr>
              <w:t>1,701</w:t>
            </w:r>
          </w:p>
        </w:tc>
      </w:tr>
      <w:tr>
        <w:tc>
          <w:tcPr>
            <w:tcW w:type="dxa" w:w="1728"/>
          </w:tcPr>
          <w:p>
            <w:r>
              <w:rPr>
                <w:sz w:val="17"/>
              </w:rPr>
            </w:r>
            <w:r>
              <w:rPr>
                <w:sz w:val="17"/>
              </w:rPr>
              <w:t>+1 year(s)</w:t>
            </w:r>
          </w:p>
        </w:tc>
        <w:tc>
          <w:tcPr>
            <w:tcW w:type="dxa" w:w="1728"/>
          </w:tcPr>
          <w:p>
            <w:r>
              <w:rPr>
                <w:sz w:val="17"/>
              </w:rPr>
            </w:r>
            <w:r>
              <w:rPr>
                <w:sz w:val="17"/>
              </w:rPr>
              <w:t>2029</w:t>
            </w:r>
          </w:p>
        </w:tc>
        <w:tc>
          <w:tcPr>
            <w:tcW w:type="dxa" w:w="1728"/>
          </w:tcPr>
          <w:p>
            <w:r>
              <w:rPr>
                <w:sz w:val="17"/>
              </w:rPr>
            </w:r>
            <w:r>
              <w:rPr>
                <w:sz w:val="17"/>
              </w:rPr>
              <w:t>126,422</w:t>
            </w:r>
          </w:p>
        </w:tc>
        <w:tc>
          <w:tcPr>
            <w:tcW w:type="dxa" w:w="1728"/>
          </w:tcPr>
          <w:p>
            <w:r>
              <w:rPr>
                <w:sz w:val="17"/>
              </w:rPr>
            </w:r>
            <w:r>
              <w:rPr>
                <w:sz w:val="17"/>
              </w:rPr>
              <w:t>46.4</w:t>
            </w:r>
          </w:p>
        </w:tc>
        <w:tc>
          <w:tcPr>
            <w:tcW w:type="dxa" w:w="1728"/>
          </w:tcPr>
          <w:p>
            <w:r>
              <w:rPr>
                <w:sz w:val="17"/>
              </w:rPr>
            </w:r>
            <w:r>
              <w:rPr>
                <w:sz w:val="17"/>
              </w:rPr>
              <w:t>3,438</w:t>
            </w:r>
          </w:p>
        </w:tc>
      </w:tr>
      <w:tr>
        <w:tc>
          <w:tcPr>
            <w:tcW w:type="dxa" w:w="1728"/>
          </w:tcPr>
          <w:p>
            <w:r>
              <w:rPr>
                <w:sz w:val="17"/>
              </w:rPr>
            </w:r>
            <w:r>
              <w:rPr>
                <w:sz w:val="17"/>
              </w:rPr>
              <w:t>+2 year(s)</w:t>
            </w:r>
          </w:p>
        </w:tc>
        <w:tc>
          <w:tcPr>
            <w:tcW w:type="dxa" w:w="1728"/>
          </w:tcPr>
          <w:p>
            <w:r>
              <w:rPr>
                <w:sz w:val="17"/>
              </w:rPr>
            </w:r>
            <w:r>
              <w:rPr>
                <w:sz w:val="17"/>
              </w:rPr>
              <w:t>2030</w:t>
            </w:r>
          </w:p>
        </w:tc>
        <w:tc>
          <w:tcPr>
            <w:tcW w:type="dxa" w:w="1728"/>
          </w:tcPr>
          <w:p>
            <w:r>
              <w:rPr>
                <w:sz w:val="17"/>
              </w:rPr>
            </w:r>
            <w:r>
              <w:rPr>
                <w:sz w:val="17"/>
              </w:rPr>
              <w:t>107,655</w:t>
            </w:r>
          </w:p>
        </w:tc>
        <w:tc>
          <w:tcPr>
            <w:tcW w:type="dxa" w:w="1728"/>
          </w:tcPr>
          <w:p>
            <w:r>
              <w:rPr>
                <w:sz w:val="17"/>
              </w:rPr>
            </w:r>
            <w:r>
              <w:rPr>
                <w:sz w:val="17"/>
              </w:rPr>
              <w:t>32.5</w:t>
            </w:r>
          </w:p>
        </w:tc>
        <w:tc>
          <w:tcPr>
            <w:tcW w:type="dxa" w:w="1728"/>
          </w:tcPr>
          <w:p>
            <w:r>
              <w:rPr>
                <w:sz w:val="17"/>
              </w:rPr>
            </w:r>
            <w:r>
              <w:rPr>
                <w:sz w:val="17"/>
              </w:rPr>
              <w:t>5,532</w:t>
            </w:r>
          </w:p>
        </w:tc>
      </w:tr>
      <w:tr>
        <w:tc>
          <w:tcPr>
            <w:tcW w:type="dxa" w:w="1728"/>
          </w:tcPr>
          <w:p>
            <w:r>
              <w:rPr>
                <w:sz w:val="17"/>
              </w:rPr>
            </w:r>
            <w:r>
              <w:rPr>
                <w:sz w:val="17"/>
              </w:rPr>
              <w:t>+3 year(s)</w:t>
            </w:r>
          </w:p>
        </w:tc>
        <w:tc>
          <w:tcPr>
            <w:tcW w:type="dxa" w:w="1728"/>
          </w:tcPr>
          <w:p>
            <w:r>
              <w:rPr>
                <w:sz w:val="17"/>
              </w:rPr>
            </w:r>
            <w:r>
              <w:rPr>
                <w:sz w:val="17"/>
              </w:rPr>
              <w:t>2031</w:t>
            </w:r>
          </w:p>
        </w:tc>
        <w:tc>
          <w:tcPr>
            <w:tcW w:type="dxa" w:w="1728"/>
          </w:tcPr>
          <w:p>
            <w:r>
              <w:rPr>
                <w:sz w:val="17"/>
              </w:rPr>
            </w:r>
            <w:r>
              <w:rPr>
                <w:sz w:val="17"/>
              </w:rPr>
              <w:t>87,988</w:t>
            </w:r>
          </w:p>
        </w:tc>
        <w:tc>
          <w:tcPr>
            <w:tcW w:type="dxa" w:w="1728"/>
          </w:tcPr>
          <w:p>
            <w:r>
              <w:rPr>
                <w:sz w:val="17"/>
              </w:rPr>
            </w:r>
            <w:r>
              <w:rPr>
                <w:sz w:val="17"/>
              </w:rPr>
              <w:t>21.1</w:t>
            </w:r>
          </w:p>
        </w:tc>
        <w:tc>
          <w:tcPr>
            <w:tcW w:type="dxa" w:w="1728"/>
          </w:tcPr>
          <w:p>
            <w:r>
              <w:rPr>
                <w:sz w:val="17"/>
              </w:rPr>
            </w:r>
            <w:r>
              <w:rPr>
                <w:sz w:val="17"/>
              </w:rPr>
              <w:t>9,126</w:t>
            </w:r>
          </w:p>
        </w:tc>
      </w:tr>
    </w:tbl>
    <w:p/>
    <w:p>
      <w:pPr>
        <w:jc w:val="both"/>
      </w:pPr>
      <w:r>
        <w:t>Every year of delay removes roughly a quarter of the value and increases the cash requirement. The stated round assumes a launch without delay; a one-year slip raises the requirement to RUB 3,438 mn, a two-year slip to RUB 5,532 mn.</w:t>
      </w:r>
    </w:p>
    <w:p>
      <w:pPr>
        <w:pStyle w:val="Heading3"/>
      </w:pPr>
      <w:r>
        <w:t>7.4. Simulation</w:t>
      </w:r>
    </w:p>
    <w:p>
      <w:pPr>
        <w:jc w:val="both"/>
      </w:pPr>
      <w:r>
        <w:t>2000 iterations, generator with a fixed seed 20260907 — the calculation is reproducible. The following are varied: market share in year 10 (triangular distribution 7–25%, mode 18%), discount rate (uniform 27–33%), deviation of costs (uniform from minus 10% to plus 30%), launch delay (0/1/2/3 years with probabilities 40/30/20/10%).</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Percentile</w:t>
            </w:r>
          </w:p>
        </w:tc>
        <w:tc>
          <w:tcPr>
            <w:tcW w:type="dxa" w:w="1080"/>
          </w:tcPr>
          <w:p>
            <w:r>
              <w:rPr>
                <w:b/>
                <w:sz w:val="17"/>
              </w:rPr>
            </w:r>
            <w:r>
              <w:rPr>
                <w:b/>
                <w:sz w:val="17"/>
              </w:rPr>
              <w:t>P5</w:t>
            </w:r>
          </w:p>
        </w:tc>
        <w:tc>
          <w:tcPr>
            <w:tcW w:type="dxa" w:w="1080"/>
          </w:tcPr>
          <w:p>
            <w:r>
              <w:rPr>
                <w:b/>
                <w:sz w:val="17"/>
              </w:rPr>
            </w:r>
            <w:r>
              <w:rPr>
                <w:b/>
                <w:sz w:val="17"/>
              </w:rPr>
              <w:t>P10</w:t>
            </w:r>
          </w:p>
        </w:tc>
        <w:tc>
          <w:tcPr>
            <w:tcW w:type="dxa" w:w="1080"/>
          </w:tcPr>
          <w:p>
            <w:r>
              <w:rPr>
                <w:b/>
                <w:sz w:val="17"/>
              </w:rPr>
            </w:r>
            <w:r>
              <w:rPr>
                <w:b/>
                <w:sz w:val="17"/>
              </w:rPr>
              <w:t>P25</w:t>
            </w:r>
          </w:p>
        </w:tc>
        <w:tc>
          <w:tcPr>
            <w:tcW w:type="dxa" w:w="1080"/>
          </w:tcPr>
          <w:p>
            <w:r>
              <w:rPr>
                <w:b/>
                <w:sz w:val="17"/>
              </w:rPr>
            </w:r>
            <w:r>
              <w:rPr>
                <w:b/>
                <w:sz w:val="17"/>
              </w:rPr>
              <w:t>Median</w:t>
            </w:r>
          </w:p>
        </w:tc>
        <w:tc>
          <w:tcPr>
            <w:tcW w:type="dxa" w:w="1080"/>
          </w:tcPr>
          <w:p>
            <w:r>
              <w:rPr>
                <w:b/>
                <w:sz w:val="17"/>
              </w:rPr>
            </w:r>
            <w:r>
              <w:rPr>
                <w:b/>
                <w:sz w:val="17"/>
              </w:rPr>
              <w:t>P75</w:t>
            </w:r>
          </w:p>
        </w:tc>
        <w:tc>
          <w:tcPr>
            <w:tcW w:type="dxa" w:w="1080"/>
          </w:tcPr>
          <w:p>
            <w:r>
              <w:rPr>
                <w:b/>
                <w:sz w:val="17"/>
              </w:rPr>
            </w:r>
            <w:r>
              <w:rPr>
                <w:b/>
                <w:sz w:val="17"/>
              </w:rPr>
              <w:t>P90</w:t>
            </w:r>
          </w:p>
        </w:tc>
        <w:tc>
          <w:tcPr>
            <w:tcW w:type="dxa" w:w="1080"/>
          </w:tcPr>
          <w:p>
            <w:r>
              <w:rPr>
                <w:b/>
                <w:sz w:val="17"/>
              </w:rPr>
            </w:r>
            <w:r>
              <w:rPr>
                <w:b/>
                <w:sz w:val="17"/>
              </w:rPr>
              <w:t>P95</w:t>
            </w:r>
          </w:p>
        </w:tc>
      </w:tr>
      <w:tr>
        <w:tc>
          <w:tcPr>
            <w:tcW w:type="dxa" w:w="1080"/>
          </w:tcPr>
          <w:p>
            <w:r>
              <w:rPr>
                <w:sz w:val="17"/>
              </w:rPr>
            </w:r>
            <w:r>
              <w:rPr>
                <w:sz w:val="17"/>
              </w:rPr>
              <w:t>Enterprise value, RUB bn</w:t>
            </w:r>
          </w:p>
        </w:tc>
        <w:tc>
          <w:tcPr>
            <w:tcW w:type="dxa" w:w="1080"/>
          </w:tcPr>
          <w:p>
            <w:r>
              <w:rPr>
                <w:sz w:val="17"/>
              </w:rPr>
            </w:r>
            <w:r>
              <w:rPr>
                <w:sz w:val="17"/>
              </w:rPr>
              <w:t>14.7</w:t>
            </w:r>
          </w:p>
        </w:tc>
        <w:tc>
          <w:tcPr>
            <w:tcW w:type="dxa" w:w="1080"/>
          </w:tcPr>
          <w:p>
            <w:r>
              <w:rPr>
                <w:sz w:val="17"/>
              </w:rPr>
            </w:r>
            <w:r>
              <w:rPr>
                <w:sz w:val="17"/>
              </w:rPr>
              <w:t>18.5</w:t>
            </w:r>
          </w:p>
        </w:tc>
        <w:tc>
          <w:tcPr>
            <w:tcW w:type="dxa" w:w="1080"/>
          </w:tcPr>
          <w:p>
            <w:r>
              <w:rPr>
                <w:sz w:val="17"/>
              </w:rPr>
            </w:r>
            <w:r>
              <w:rPr>
                <w:sz w:val="17"/>
              </w:rPr>
              <w:t>26.8</w:t>
            </w:r>
          </w:p>
        </w:tc>
        <w:tc>
          <w:tcPr>
            <w:tcW w:type="dxa" w:w="1080"/>
          </w:tcPr>
          <w:p>
            <w:r>
              <w:rPr>
                <w:sz w:val="17"/>
              </w:rPr>
            </w:r>
            <w:r>
              <w:rPr>
                <w:sz w:val="17"/>
              </w:rPr>
              <w:t>39.2</w:t>
            </w:r>
          </w:p>
        </w:tc>
        <w:tc>
          <w:tcPr>
            <w:tcW w:type="dxa" w:w="1080"/>
          </w:tcPr>
          <w:p>
            <w:r>
              <w:rPr>
                <w:sz w:val="17"/>
              </w:rPr>
            </w:r>
            <w:r>
              <w:rPr>
                <w:sz w:val="17"/>
              </w:rPr>
              <w:t>52.9</w:t>
            </w:r>
          </w:p>
        </w:tc>
        <w:tc>
          <w:tcPr>
            <w:tcW w:type="dxa" w:w="1080"/>
          </w:tcPr>
          <w:p>
            <w:r>
              <w:rPr>
                <w:sz w:val="17"/>
              </w:rPr>
            </w:r>
            <w:r>
              <w:rPr>
                <w:sz w:val="17"/>
              </w:rPr>
              <w:t>65.8</w:t>
            </w:r>
          </w:p>
        </w:tc>
        <w:tc>
          <w:tcPr>
            <w:tcW w:type="dxa" w:w="1080"/>
          </w:tcPr>
          <w:p>
            <w:r>
              <w:rPr>
                <w:sz w:val="17"/>
              </w:rPr>
            </w:r>
            <w:r>
              <w:rPr>
                <w:sz w:val="17"/>
              </w:rPr>
              <w:t>73.5</w:t>
            </w:r>
          </w:p>
        </w:tc>
      </w:tr>
    </w:tbl>
    <w:p/>
    <w:p>
      <w:pPr>
        <w:jc w:val="both"/>
      </w:pPr>
      <w:r>
        <w:t>Probability of a value above RUB 50 bn — 29.6%. Probability of a negative value — 0.0%.</w:t>
      </w:r>
    </w:p>
    <w:p>
      <w:pPr>
        <w:ind w:left="360"/>
      </w:pPr>
      <w:r>
        <w:rPr>
          <w:i/>
          <w:color w:val="444444"/>
        </w:rPr>
        <w:t>The median of the simulation (RUB 39.2 bn) is markedly below the base case (RUB 63.0 bn). This is not an error: the base case assumes a launch without delay, while the simulation allows for delay being likely. The gap between the base case and the median of the simulation is the price of schedule risk.</w:t>
      </w:r>
    </w:p>
    <w:p>
      <w:pPr>
        <w:pStyle w:val="Heading2"/>
      </w:pPr>
      <w:r>
        <w:t>Sheet 8. Investor calculation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Parameter</w:t>
            </w:r>
          </w:p>
        </w:tc>
        <w:tc>
          <w:tcPr>
            <w:tcW w:type="dxa" w:w="4320"/>
          </w:tcPr>
          <w:p>
            <w:r>
              <w:rPr>
                <w:b/>
                <w:sz w:val="17"/>
              </w:rPr>
            </w:r>
            <w:r>
              <w:rPr>
                <w:b/>
                <w:sz w:val="17"/>
              </w:rPr>
              <w:t>Value</w:t>
            </w:r>
          </w:p>
        </w:tc>
      </w:tr>
      <w:tr>
        <w:tc>
          <w:tcPr>
            <w:tcW w:type="dxa" w:w="4320"/>
          </w:tcPr>
          <w:p>
            <w:r>
              <w:rPr>
                <w:sz w:val="17"/>
              </w:rPr>
            </w:r>
            <w:r>
              <w:rPr>
                <w:sz w:val="17"/>
              </w:rPr>
              <w:t>Investment</w:t>
            </w:r>
          </w:p>
        </w:tc>
        <w:tc>
          <w:tcPr>
            <w:tcW w:type="dxa" w:w="4320"/>
          </w:tcPr>
          <w:p>
            <w:r>
              <w:rPr>
                <w:sz w:val="17"/>
              </w:rPr>
            </w:r>
            <w:r>
              <w:rPr>
                <w:sz w:val="17"/>
              </w:rPr>
              <w:t>1,800</w:t>
            </w:r>
          </w:p>
        </w:tc>
      </w:tr>
      <w:tr>
        <w:tc>
          <w:tcPr>
            <w:tcW w:type="dxa" w:w="4320"/>
          </w:tcPr>
          <w:p>
            <w:r>
              <w:rPr>
                <w:sz w:val="17"/>
              </w:rPr>
            </w:r>
            <w:r>
              <w:rPr>
                <w:sz w:val="17"/>
              </w:rPr>
              <w:t>Equity stake</w:t>
            </w:r>
          </w:p>
        </w:tc>
        <w:tc>
          <w:tcPr>
            <w:tcW w:type="dxa" w:w="4320"/>
          </w:tcPr>
          <w:p>
            <w:r>
              <w:rPr>
                <w:sz w:val="17"/>
              </w:rPr>
            </w:r>
            <w:r>
              <w:rPr>
                <w:sz w:val="17"/>
              </w:rPr>
              <w:t>9.21%</w:t>
            </w:r>
          </w:p>
        </w:tc>
      </w:tr>
      <w:tr>
        <w:tc>
          <w:tcPr>
            <w:tcW w:type="dxa" w:w="4320"/>
          </w:tcPr>
          <w:p>
            <w:r>
              <w:rPr>
                <w:sz w:val="17"/>
              </w:rPr>
            </w:r>
            <w:r>
              <w:rPr>
                <w:sz w:val="17"/>
              </w:rPr>
              <w:t>Holding horizon</w:t>
            </w:r>
          </w:p>
        </w:tc>
        <w:tc>
          <w:tcPr>
            <w:tcW w:type="dxa" w:w="4320"/>
          </w:tcPr>
          <w:p>
            <w:r>
              <w:rPr>
                <w:sz w:val="17"/>
              </w:rPr>
            </w:r>
            <w:r>
              <w:rPr>
                <w:sz w:val="17"/>
              </w:rPr>
              <w:t>7 years, exit in 2033</w:t>
            </w:r>
          </w:p>
        </w:tc>
      </w:tr>
      <w:tr>
        <w:tc>
          <w:tcPr>
            <w:tcW w:type="dxa" w:w="4320"/>
          </w:tcPr>
          <w:p>
            <w:r>
              <w:rPr>
                <w:sz w:val="17"/>
              </w:rPr>
            </w:r>
            <w:r>
              <w:rPr>
                <w:sz w:val="17"/>
              </w:rPr>
              <w:t>Enterprise value at exit</w:t>
            </w:r>
          </w:p>
        </w:tc>
        <w:tc>
          <w:tcPr>
            <w:tcW w:type="dxa" w:w="4320"/>
          </w:tcPr>
          <w:p>
            <w:r>
              <w:rPr>
                <w:sz w:val="17"/>
              </w:rPr>
            </w:r>
            <w:r>
              <w:rPr>
                <w:sz w:val="17"/>
              </w:rPr>
              <w:t>261,907</w:t>
            </w:r>
          </w:p>
        </w:tc>
      </w:tr>
      <w:tr>
        <w:tc>
          <w:tcPr>
            <w:tcW w:type="dxa" w:w="4320"/>
          </w:tcPr>
          <w:p>
            <w:r>
              <w:rPr>
                <w:sz w:val="17"/>
              </w:rPr>
            </w:r>
            <w:r>
              <w:rPr>
                <w:sz w:val="17"/>
              </w:rPr>
              <w:t>Accumulated cash</w:t>
            </w:r>
          </w:p>
        </w:tc>
        <w:tc>
          <w:tcPr>
            <w:tcW w:type="dxa" w:w="4320"/>
          </w:tcPr>
          <w:p>
            <w:r>
              <w:rPr>
                <w:sz w:val="17"/>
              </w:rPr>
            </w:r>
            <w:r>
              <w:rPr>
                <w:sz w:val="17"/>
              </w:rPr>
              <w:t>97,337</w:t>
            </w:r>
          </w:p>
        </w:tc>
      </w:tr>
      <w:tr>
        <w:tc>
          <w:tcPr>
            <w:tcW w:type="dxa" w:w="4320"/>
          </w:tcPr>
          <w:p>
            <w:r>
              <w:rPr>
                <w:sz w:val="17"/>
              </w:rPr>
            </w:r>
            <w:r>
              <w:rPr>
                <w:sz w:val="17"/>
              </w:rPr>
              <w:t>Equity value at exit</w:t>
            </w:r>
          </w:p>
        </w:tc>
        <w:tc>
          <w:tcPr>
            <w:tcW w:type="dxa" w:w="4320"/>
          </w:tcPr>
          <w:p>
            <w:r>
              <w:rPr>
                <w:sz w:val="17"/>
              </w:rPr>
            </w:r>
            <w:r>
              <w:rPr>
                <w:sz w:val="17"/>
              </w:rPr>
              <w:t>359,244</w:t>
            </w:r>
          </w:p>
        </w:tc>
      </w:tr>
      <w:tr>
        <w:tc>
          <w:tcPr>
            <w:tcW w:type="dxa" w:w="4320"/>
          </w:tcPr>
          <w:p>
            <w:r>
              <w:rPr>
                <w:sz w:val="17"/>
              </w:rPr>
            </w:r>
            <w:r>
              <w:rPr>
                <w:sz w:val="17"/>
              </w:rPr>
              <w:t>Investor proceeds</w:t>
            </w:r>
          </w:p>
        </w:tc>
        <w:tc>
          <w:tcPr>
            <w:tcW w:type="dxa" w:w="4320"/>
          </w:tcPr>
          <w:p>
            <w:r>
              <w:rPr>
                <w:sz w:val="17"/>
              </w:rPr>
            </w:r>
            <w:r>
              <w:rPr>
                <w:sz w:val="17"/>
              </w:rPr>
              <w:t>33,094</w:t>
            </w:r>
          </w:p>
        </w:tc>
      </w:tr>
      <w:tr>
        <w:tc>
          <w:tcPr>
            <w:tcW w:type="dxa" w:w="4320"/>
          </w:tcPr>
          <w:p>
            <w:r>
              <w:rPr>
                <w:sz w:val="17"/>
              </w:rPr>
            </w:r>
            <w:r>
              <w:rPr>
                <w:b/>
                <w:sz w:val="17"/>
              </w:rPr>
              <w:t>Return multiple</w:t>
            </w:r>
          </w:p>
        </w:tc>
        <w:tc>
          <w:tcPr>
            <w:tcW w:type="dxa" w:w="4320"/>
          </w:tcPr>
          <w:p>
            <w:r>
              <w:rPr>
                <w:sz w:val="17"/>
              </w:rPr>
            </w:r>
            <w:r>
              <w:rPr>
                <w:b/>
                <w:sz w:val="17"/>
              </w:rPr>
              <w:t>18.4×</w:t>
            </w:r>
          </w:p>
        </w:tc>
      </w:tr>
      <w:tr>
        <w:tc>
          <w:tcPr>
            <w:tcW w:type="dxa" w:w="4320"/>
          </w:tcPr>
          <w:p>
            <w:r>
              <w:rPr>
                <w:sz w:val="17"/>
              </w:rPr>
            </w:r>
            <w:r>
              <w:rPr>
                <w:b/>
                <w:sz w:val="17"/>
              </w:rPr>
              <w:t>Investor internal rate of return</w:t>
            </w:r>
          </w:p>
        </w:tc>
        <w:tc>
          <w:tcPr>
            <w:tcW w:type="dxa" w:w="4320"/>
          </w:tcPr>
          <w:p>
            <w:r>
              <w:rPr>
                <w:sz w:val="17"/>
              </w:rPr>
            </w:r>
            <w:r>
              <w:rPr>
                <w:b/>
                <w:sz w:val="17"/>
              </w:rPr>
              <w:t>51.6%</w:t>
            </w:r>
          </w:p>
        </w:tc>
      </w:tr>
    </w:tbl>
    <w:p/>
    <w:p>
      <w:pPr>
        <w:jc w:val="both"/>
      </w:pPr>
      <w:r>
        <w:t>The calculation assumes that the plan is delivered in full, that no dividends were paid and that accumulated funds remain in the company. This is an upper bound, not an expectation: the price of the risk of non-delivery is embedded in the stage discount applied when determining the entry value (Sheet 9).</w:t>
      </w:r>
    </w:p>
    <w:p>
      <w:pPr>
        <w:pStyle w:val="Heading2"/>
      </w:pPr>
      <w:r>
        <w:t>Sheet 9. Entry value (pre-money)</w:t>
      </w:r>
    </w:p>
    <w:p>
      <w:pPr>
        <w:jc w:val="both"/>
      </w:pPr>
      <w:r>
        <w:t xml:space="preserve">A reconciliation of four approaches. The stage discount of 60% is applied </w:t>
      </w:r>
      <w:r>
        <w:rPr>
          <w:b/>
        </w:rPr>
        <w:t>once</w:t>
      </w:r>
      <w:r>
        <w:t>, and only to approaches that produce the value of a mature business. The Berkus and replacement-cost approaches value the project as it stands and are not discounted again.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Approach</w:t>
            </w:r>
          </w:p>
        </w:tc>
        <w:tc>
          <w:tcPr>
            <w:tcW w:type="dxa" w:w="1440"/>
          </w:tcPr>
          <w:p>
            <w:r>
              <w:rPr>
                <w:b/>
                <w:sz w:val="17"/>
              </w:rPr>
            </w:r>
            <w:r>
              <w:rPr>
                <w:b/>
                <w:sz w:val="17"/>
              </w:rPr>
              <w:t>Before discount, USD mn</w:t>
            </w:r>
          </w:p>
        </w:tc>
        <w:tc>
          <w:tcPr>
            <w:tcW w:type="dxa" w:w="1440"/>
          </w:tcPr>
          <w:p>
            <w:r>
              <w:rPr>
                <w:b/>
                <w:sz w:val="17"/>
              </w:rPr>
            </w:r>
            <w:r>
              <w:rPr>
                <w:b/>
                <w:sz w:val="17"/>
              </w:rPr>
              <w:t>Stage discount</w:t>
            </w:r>
          </w:p>
        </w:tc>
        <w:tc>
          <w:tcPr>
            <w:tcW w:type="dxa" w:w="1440"/>
          </w:tcPr>
          <w:p>
            <w:r>
              <w:rPr>
                <w:b/>
                <w:sz w:val="17"/>
              </w:rPr>
            </w:r>
            <w:r>
              <w:rPr>
                <w:b/>
                <w:sz w:val="17"/>
              </w:rPr>
              <w:t>After discount, USD mn</w:t>
            </w:r>
          </w:p>
        </w:tc>
        <w:tc>
          <w:tcPr>
            <w:tcW w:type="dxa" w:w="1440"/>
          </w:tcPr>
          <w:p>
            <w:r>
              <w:rPr>
                <w:b/>
                <w:sz w:val="17"/>
              </w:rPr>
            </w:r>
            <w:r>
              <w:rPr>
                <w:b/>
                <w:sz w:val="17"/>
              </w:rPr>
              <w:t>Weight</w:t>
            </w:r>
          </w:p>
        </w:tc>
        <w:tc>
          <w:tcPr>
            <w:tcW w:type="dxa" w:w="1440"/>
          </w:tcPr>
          <w:p>
            <w:r>
              <w:rPr>
                <w:b/>
                <w:sz w:val="17"/>
              </w:rPr>
            </w:r>
            <w:r>
              <w:rPr>
                <w:b/>
                <w:sz w:val="17"/>
              </w:rPr>
              <w:t>Contribution, USD mn</w:t>
            </w:r>
          </w:p>
        </w:tc>
      </w:tr>
      <w:tr>
        <w:tc>
          <w:tcPr>
            <w:tcW w:type="dxa" w:w="1440"/>
          </w:tcPr>
          <w:p>
            <w:r>
              <w:rPr>
                <w:sz w:val="17"/>
              </w:rPr>
            </w:r>
            <w:r>
              <w:rPr>
                <w:sz w:val="17"/>
              </w:rPr>
              <w:t>Income (DCF)</w:t>
            </w:r>
          </w:p>
        </w:tc>
        <w:tc>
          <w:tcPr>
            <w:tcW w:type="dxa" w:w="1440"/>
          </w:tcPr>
          <w:p>
            <w:r>
              <w:rPr>
                <w:sz w:val="17"/>
              </w:rPr>
            </w:r>
            <w:r>
              <w:rPr>
                <w:sz w:val="17"/>
              </w:rPr>
              <w:t>880</w:t>
            </w:r>
          </w:p>
        </w:tc>
        <w:tc>
          <w:tcPr>
            <w:tcW w:type="dxa" w:w="1440"/>
          </w:tcPr>
          <w:p>
            <w:r>
              <w:rPr>
                <w:sz w:val="17"/>
              </w:rPr>
            </w:r>
            <w:r>
              <w:rPr>
                <w:sz w:val="17"/>
              </w:rPr>
              <w:t>applied</w:t>
            </w:r>
          </w:p>
        </w:tc>
        <w:tc>
          <w:tcPr>
            <w:tcW w:type="dxa" w:w="1440"/>
          </w:tcPr>
          <w:p>
            <w:r>
              <w:rPr>
                <w:sz w:val="17"/>
              </w:rPr>
            </w:r>
            <w:r>
              <w:rPr>
                <w:sz w:val="17"/>
              </w:rPr>
              <w:t>352</w:t>
            </w:r>
          </w:p>
        </w:tc>
        <w:tc>
          <w:tcPr>
            <w:tcW w:type="dxa" w:w="1440"/>
          </w:tcPr>
          <w:p>
            <w:r>
              <w:rPr>
                <w:sz w:val="17"/>
              </w:rPr>
            </w:r>
            <w:r>
              <w:rPr>
                <w:sz w:val="17"/>
              </w:rPr>
              <w:t>35%</w:t>
            </w:r>
          </w:p>
        </w:tc>
        <w:tc>
          <w:tcPr>
            <w:tcW w:type="dxa" w:w="1440"/>
          </w:tcPr>
          <w:p>
            <w:r>
              <w:rPr>
                <w:sz w:val="17"/>
              </w:rPr>
            </w:r>
            <w:r>
              <w:rPr>
                <w:sz w:val="17"/>
              </w:rPr>
              <w:t>123.2</w:t>
            </w:r>
          </w:p>
        </w:tc>
      </w:tr>
      <w:tr>
        <w:tc>
          <w:tcPr>
            <w:tcW w:type="dxa" w:w="1440"/>
          </w:tcPr>
          <w:p>
            <w:r>
              <w:rPr>
                <w:sz w:val="17"/>
              </w:rPr>
            </w:r>
            <w:r>
              <w:rPr>
                <w:sz w:val="17"/>
              </w:rPr>
              <w:t>Market (multiples)</w:t>
            </w:r>
          </w:p>
        </w:tc>
        <w:tc>
          <w:tcPr>
            <w:tcW w:type="dxa" w:w="1440"/>
          </w:tcPr>
          <w:p>
            <w:r>
              <w:rPr>
                <w:sz w:val="17"/>
              </w:rPr>
            </w:r>
            <w:r>
              <w:rPr>
                <w:sz w:val="17"/>
              </w:rPr>
              <w:t>380</w:t>
            </w:r>
          </w:p>
        </w:tc>
        <w:tc>
          <w:tcPr>
            <w:tcW w:type="dxa" w:w="1440"/>
          </w:tcPr>
          <w:p>
            <w:r>
              <w:rPr>
                <w:sz w:val="17"/>
              </w:rPr>
            </w:r>
            <w:r>
              <w:rPr>
                <w:sz w:val="17"/>
              </w:rPr>
              <w:t>not applied</w:t>
            </w:r>
          </w:p>
        </w:tc>
        <w:tc>
          <w:tcPr>
            <w:tcW w:type="dxa" w:w="1440"/>
          </w:tcPr>
          <w:p>
            <w:r>
              <w:rPr>
                <w:sz w:val="17"/>
              </w:rPr>
            </w:r>
            <w:r>
              <w:rPr>
                <w:sz w:val="17"/>
              </w:rPr>
              <w:t>380</w:t>
            </w:r>
          </w:p>
        </w:tc>
        <w:tc>
          <w:tcPr>
            <w:tcW w:type="dxa" w:w="1440"/>
          </w:tcPr>
          <w:p>
            <w:r>
              <w:rPr>
                <w:sz w:val="17"/>
              </w:rPr>
            </w:r>
            <w:r>
              <w:rPr>
                <w:sz w:val="17"/>
              </w:rPr>
              <w:t>30%</w:t>
            </w:r>
          </w:p>
        </w:tc>
        <w:tc>
          <w:tcPr>
            <w:tcW w:type="dxa" w:w="1440"/>
          </w:tcPr>
          <w:p>
            <w:r>
              <w:rPr>
                <w:sz w:val="17"/>
              </w:rPr>
            </w:r>
            <w:r>
              <w:rPr>
                <w:sz w:val="17"/>
              </w:rPr>
              <w:t>114.0</w:t>
            </w:r>
          </w:p>
        </w:tc>
      </w:tr>
      <w:tr>
        <w:tc>
          <w:tcPr>
            <w:tcW w:type="dxa" w:w="1440"/>
          </w:tcPr>
          <w:p>
            <w:r>
              <w:rPr>
                <w:sz w:val="17"/>
              </w:rPr>
            </w:r>
            <w:r>
              <w:rPr>
                <w:sz w:val="17"/>
              </w:rPr>
              <w:t>Risk-adjusted Berkus</w:t>
            </w:r>
          </w:p>
        </w:tc>
        <w:tc>
          <w:tcPr>
            <w:tcW w:type="dxa" w:w="1440"/>
          </w:tcPr>
          <w:p>
            <w:r>
              <w:rPr>
                <w:sz w:val="17"/>
              </w:rPr>
            </w:r>
            <w:r>
              <w:rPr>
                <w:sz w:val="17"/>
              </w:rPr>
              <w:t>35</w:t>
            </w:r>
          </w:p>
        </w:tc>
        <w:tc>
          <w:tcPr>
            <w:tcW w:type="dxa" w:w="1440"/>
          </w:tcPr>
          <w:p>
            <w:r>
              <w:rPr>
                <w:sz w:val="17"/>
              </w:rPr>
            </w:r>
            <w:r>
              <w:rPr>
                <w:sz w:val="17"/>
              </w:rPr>
              <w:t>not applied</w:t>
            </w:r>
          </w:p>
        </w:tc>
        <w:tc>
          <w:tcPr>
            <w:tcW w:type="dxa" w:w="1440"/>
          </w:tcPr>
          <w:p>
            <w:r>
              <w:rPr>
                <w:sz w:val="17"/>
              </w:rPr>
            </w:r>
            <w:r>
              <w:rPr>
                <w:sz w:val="17"/>
              </w:rPr>
              <w:t>35</w:t>
            </w:r>
          </w:p>
        </w:tc>
        <w:tc>
          <w:tcPr>
            <w:tcW w:type="dxa" w:w="1440"/>
          </w:tcPr>
          <w:p>
            <w:r>
              <w:rPr>
                <w:sz w:val="17"/>
              </w:rPr>
            </w:r>
            <w:r>
              <w:rPr>
                <w:sz w:val="17"/>
              </w:rPr>
              <w:t>25%</w:t>
            </w:r>
          </w:p>
        </w:tc>
        <w:tc>
          <w:tcPr>
            <w:tcW w:type="dxa" w:w="1440"/>
          </w:tcPr>
          <w:p>
            <w:r>
              <w:rPr>
                <w:sz w:val="17"/>
              </w:rPr>
            </w:r>
            <w:r>
              <w:rPr>
                <w:sz w:val="17"/>
              </w:rPr>
              <w:t>8.8</w:t>
            </w:r>
          </w:p>
        </w:tc>
      </w:tr>
      <w:tr>
        <w:tc>
          <w:tcPr>
            <w:tcW w:type="dxa" w:w="1440"/>
          </w:tcPr>
          <w:p>
            <w:r>
              <w:rPr>
                <w:sz w:val="17"/>
              </w:rPr>
            </w:r>
            <w:r>
              <w:rPr>
                <w:sz w:val="17"/>
              </w:rPr>
              <w:t>Cost (replacement value)</w:t>
            </w:r>
          </w:p>
        </w:tc>
        <w:tc>
          <w:tcPr>
            <w:tcW w:type="dxa" w:w="1440"/>
          </w:tcPr>
          <w:p>
            <w:r>
              <w:rPr>
                <w:sz w:val="17"/>
              </w:rPr>
            </w:r>
            <w:r>
              <w:rPr>
                <w:sz w:val="17"/>
              </w:rPr>
              <w:t>20</w:t>
            </w:r>
          </w:p>
        </w:tc>
        <w:tc>
          <w:tcPr>
            <w:tcW w:type="dxa" w:w="1440"/>
          </w:tcPr>
          <w:p>
            <w:r>
              <w:rPr>
                <w:sz w:val="17"/>
              </w:rPr>
            </w:r>
            <w:r>
              <w:rPr>
                <w:sz w:val="17"/>
              </w:rPr>
              <w:t>not applied</w:t>
            </w:r>
          </w:p>
        </w:tc>
        <w:tc>
          <w:tcPr>
            <w:tcW w:type="dxa" w:w="1440"/>
          </w:tcPr>
          <w:p>
            <w:r>
              <w:rPr>
                <w:sz w:val="17"/>
              </w:rPr>
            </w:r>
            <w:r>
              <w:rPr>
                <w:sz w:val="17"/>
              </w:rPr>
              <w:t>20</w:t>
            </w:r>
          </w:p>
        </w:tc>
        <w:tc>
          <w:tcPr>
            <w:tcW w:type="dxa" w:w="1440"/>
          </w:tcPr>
          <w:p>
            <w:r>
              <w:rPr>
                <w:sz w:val="17"/>
              </w:rPr>
            </w:r>
            <w:r>
              <w:rPr>
                <w:sz w:val="17"/>
              </w:rPr>
              <w:t>10%</w:t>
            </w:r>
          </w:p>
        </w:tc>
        <w:tc>
          <w:tcPr>
            <w:tcW w:type="dxa" w:w="1440"/>
          </w:tcPr>
          <w:p>
            <w:r>
              <w:rPr>
                <w:sz w:val="17"/>
              </w:rPr>
            </w:r>
            <w:r>
              <w:rPr>
                <w:sz w:val="17"/>
              </w:rPr>
              <w:t>2.0</w:t>
            </w:r>
          </w:p>
        </w:tc>
      </w:tr>
      <w:tr>
        <w:tc>
          <w:tcPr>
            <w:tcW w:type="dxa" w:w="1440"/>
          </w:tcPr>
          <w:p>
            <w:r>
              <w:rPr>
                <w:sz w:val="17"/>
              </w:rPr>
            </w:r>
            <w:r>
              <w:rPr>
                <w:b/>
                <w:sz w:val="17"/>
              </w:rPr>
              <w:t>Entry value (pre-money)</w:t>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p>
        </w:tc>
        <w:tc>
          <w:tcPr>
            <w:tcW w:type="dxa" w:w="1440"/>
          </w:tcPr>
          <w:p>
            <w:r>
              <w:rPr>
                <w:sz w:val="17"/>
              </w:rPr>
            </w:r>
            <w:r>
              <w:rPr>
                <w:b/>
                <w:sz w:val="17"/>
              </w:rPr>
              <w:t>248</w:t>
            </w:r>
          </w:p>
        </w:tc>
      </w:tr>
    </w:tbl>
    <w:p/>
    <w:p>
      <w:pPr>
        <w:jc w:val="both"/>
      </w:pPr>
      <w:r>
        <w:rPr>
          <w:b/>
        </w:rPr>
        <w:t>Pre-money ≈ USD 248 mn ≈ RUB 17.74 bn</w:t>
      </w:r>
      <w:r>
        <w:t xml:space="preserve"> at a rate of 71.55 RUB/USD.</w:t>
      </w:r>
    </w:p>
    <w:p>
      <w:pPr>
        <w:ind w:left="360"/>
      </w:pPr>
      <w:r>
        <w:rPr>
          <w:b/>
          <w:i/>
          <w:color w:val="444444"/>
        </w:rPr>
        <w:t>The spread between approaches is twelvefold</w:t>
      </w:r>
      <w:r>
        <w:rPr>
          <w:i/>
          <w:color w:val="444444"/>
        </w:rPr>
        <w:t xml:space="preserve"> — from USD 20 mn on the cost approach to USD 352 mn on the income approach. Such a spread means the weighted figure is itself of limited use: 65% of the weight rests on approaches that value an already operating business, whereas the approaches designed for an early stage give an order of magnitude less. The practical conclusion: the negotiating range should be built from the early-stage approaches, and the income approach used as an argument about potential rather than as a price. The decision on the entry price rests with the owner of the project.</w:t>
      </w:r>
    </w:p>
    <w:p>
      <w:pPr>
        <w:pStyle w:val="Heading3"/>
      </w:pPr>
      <w:r>
        <w:t>Round structure at this valuation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Parameter</w:t>
            </w:r>
          </w:p>
        </w:tc>
        <w:tc>
          <w:tcPr>
            <w:tcW w:type="dxa" w:w="4320"/>
          </w:tcPr>
          <w:p>
            <w:r>
              <w:rPr>
                <w:b/>
                <w:sz w:val="17"/>
              </w:rPr>
            </w:r>
            <w:r>
              <w:rPr>
                <w:b/>
                <w:sz w:val="17"/>
              </w:rPr>
              <w:t>Value</w:t>
            </w:r>
          </w:p>
        </w:tc>
      </w:tr>
      <w:tr>
        <w:tc>
          <w:tcPr>
            <w:tcW w:type="dxa" w:w="4320"/>
          </w:tcPr>
          <w:p>
            <w:r>
              <w:rPr>
                <w:sz w:val="17"/>
              </w:rPr>
            </w:r>
            <w:r>
              <w:rPr>
                <w:sz w:val="17"/>
              </w:rPr>
              <w:t>Pre-money</w:t>
            </w:r>
          </w:p>
        </w:tc>
        <w:tc>
          <w:tcPr>
            <w:tcW w:type="dxa" w:w="4320"/>
          </w:tcPr>
          <w:p>
            <w:r>
              <w:rPr>
                <w:sz w:val="17"/>
              </w:rPr>
            </w:r>
            <w:r>
              <w:rPr>
                <w:sz w:val="17"/>
              </w:rPr>
              <w:t>$248 · 17.74</w:t>
            </w:r>
          </w:p>
        </w:tc>
      </w:tr>
      <w:tr>
        <w:tc>
          <w:tcPr>
            <w:tcW w:type="dxa" w:w="4320"/>
          </w:tcPr>
          <w:p>
            <w:r>
              <w:rPr>
                <w:sz w:val="17"/>
              </w:rPr>
            </w:r>
            <w:r>
              <w:rPr>
                <w:sz w:val="17"/>
              </w:rPr>
              <w:t>Round</w:t>
            </w:r>
          </w:p>
        </w:tc>
        <w:tc>
          <w:tcPr>
            <w:tcW w:type="dxa" w:w="4320"/>
          </w:tcPr>
          <w:p>
            <w:r>
              <w:rPr>
                <w:sz w:val="17"/>
              </w:rPr>
            </w:r>
            <w:r>
              <w:rPr>
                <w:sz w:val="17"/>
              </w:rPr>
              <w:t>$25 · 1,800</w:t>
            </w:r>
          </w:p>
        </w:tc>
      </w:tr>
      <w:tr>
        <w:tc>
          <w:tcPr>
            <w:tcW w:type="dxa" w:w="4320"/>
          </w:tcPr>
          <w:p>
            <w:r>
              <w:rPr>
                <w:sz w:val="17"/>
              </w:rPr>
            </w:r>
            <w:r>
              <w:rPr>
                <w:sz w:val="17"/>
              </w:rPr>
              <w:t>Post-money</w:t>
            </w:r>
          </w:p>
        </w:tc>
        <w:tc>
          <w:tcPr>
            <w:tcW w:type="dxa" w:w="4320"/>
          </w:tcPr>
          <w:p>
            <w:r>
              <w:rPr>
                <w:sz w:val="17"/>
              </w:rPr>
            </w:r>
            <w:r>
              <w:rPr>
                <w:sz w:val="17"/>
              </w:rPr>
              <w:t>$273 · 19.54</w:t>
            </w:r>
          </w:p>
        </w:tc>
      </w:tr>
      <w:tr>
        <w:tc>
          <w:tcPr>
            <w:tcW w:type="dxa" w:w="4320"/>
          </w:tcPr>
          <w:p>
            <w:r>
              <w:rPr>
                <w:sz w:val="17"/>
              </w:rPr>
            </w:r>
            <w:r>
              <w:rPr>
                <w:sz w:val="17"/>
              </w:rPr>
              <w:t>Investor stake</w:t>
            </w:r>
          </w:p>
        </w:tc>
        <w:tc>
          <w:tcPr>
            <w:tcW w:type="dxa" w:w="4320"/>
          </w:tcPr>
          <w:p>
            <w:r>
              <w:rPr>
                <w:sz w:val="17"/>
              </w:rPr>
            </w:r>
            <w:r>
              <w:rPr>
                <w:sz w:val="17"/>
              </w:rPr>
              <w:t>9.21%</w:t>
            </w:r>
          </w:p>
        </w:tc>
      </w:tr>
    </w:tbl>
    <w:p/>
    <w:p>
      <w:pPr>
        <w:ind w:left="360"/>
      </w:pPr>
      <w:r>
        <w:rPr>
          <w:b/>
          <w:i/>
          <w:color w:val="444444"/>
        </w:rPr>
        <w:t>The round covers the calculated requirement.</w:t>
      </w:r>
      <w:r>
        <w:rPr>
          <w:i/>
          <w:color w:val="444444"/>
        </w:rPr>
        <w:t xml:space="preserve"> The peak requirement is RUB 1,701 mn (end of 2028), the round is RUB 1,800 mn, a cushion of RUB 99 mn. The cushion is thin: a one-year delay in launch raises the requirement to RUB 3,438 mn and the round would not suffice. The launch date is the first thing to keep under control.</w:t>
      </w:r>
    </w:p>
    <w:p>
      <w:pPr>
        <w:ind w:left="360"/>
      </w:pPr>
      <w:r>
        <w:rPr>
          <w:i/>
          <w:color w:val="444444"/>
        </w:rPr>
        <w:t>In the previous edition the stage discount was applied twice — first inside the income approach, then again on top of the reconciliation. Because of this the entry value was understated roughly twofold. The correction strengthens the project's negotiating position rather than weakening it.</w:t>
      </w:r>
    </w:p>
    <w:p>
      <w:pPr>
        <w:pStyle w:val="Heading2"/>
      </w:pPr>
      <w:r>
        <w:t>Limitations of the model</w:t>
      </w:r>
    </w:p>
    <w:p>
      <w:pPr>
        <w:pStyle w:val="ListNumber"/>
      </w:pPr>
      <w:r>
        <w:rPr>
          <w:b/>
        </w:rPr>
        <w:t>The market-share trajectory is not corroborated by anything.</w:t>
      </w:r>
      <w:r>
        <w:t xml:space="preserve"> No pilot, no contracts, no comparable project. It is the author's assumption, and the whole valuation rests on it.</w:t>
      </w:r>
    </w:p>
    <w:p>
      <w:pPr>
        <w:pStyle w:val="ListNumber"/>
      </w:pPr>
      <w:r>
        <w:rPr>
          <w:b/>
        </w:rPr>
        <w:t>The regulatory framework has not been adopted.</w:t>
      </w:r>
      <w:r>
        <w:t xml:space="preserve"> The model assumes regulation will permit operation at the stated scale. If that does not happen, only the conservative scenario applies.</w:t>
      </w:r>
    </w:p>
    <w:p>
      <w:pPr>
        <w:pStyle w:val="ListNumber"/>
      </w:pPr>
      <w:r>
        <w:rPr>
          <w:b/>
        </w:rPr>
        <w:t>Capital requirements for an information-system operator are not modelled</w:t>
      </w:r>
      <w:r>
        <w:t xml:space="preserve"> — own funds, reserves, security deposits.</w:t>
      </w:r>
    </w:p>
    <w:p>
      <w:pPr>
        <w:pStyle w:val="ListNumber"/>
      </w:pPr>
      <w:r>
        <w:rPr>
          <w:b/>
        </w:rPr>
        <w:t>Customer acquisition cost is not shown as a separate line</w:t>
      </w:r>
      <w:r>
        <w:t xml:space="preserve"> — it sits inside the variable part of costs as a single amount.</w:t>
      </w:r>
    </w:p>
    <w:p>
      <w:pPr>
        <w:pStyle w:val="ListNumber"/>
      </w:pPr>
      <w:r>
        <w:rPr>
          <w:b/>
        </w:rPr>
        <w:t>The model carries no debt.</w:t>
      </w:r>
      <w:r>
        <w:t xml:space="preserve"> Equity only; no interest tax shield is taken into account.</w:t>
      </w:r>
    </w:p>
    <w:p>
      <w:pPr>
        <w:pStyle w:val="ListNumber"/>
      </w:pPr>
      <w:r>
        <w:rPr>
          <w:b/>
        </w:rPr>
        <w:t>All flows are in roubles</w:t>
      </w:r>
      <w:r>
        <w:t>, there is no currency position.</w:t>
      </w:r>
    </w:p>
    <w:p>
      <w:pPr>
        <w:pStyle w:val="ListNumber"/>
      </w:pPr>
      <w:r>
        <w:rPr>
          <w:b/>
        </w:rPr>
        <w:t>Macroeconomic parameters are fixed as at May 2026</w:t>
      </w:r>
      <w:r>
        <w:t xml:space="preserve"> (except the key rate) and require updating at the date of negotiations.</w:t>
      </w:r>
    </w:p>
    <w:p>
      <w:pPr>
        <w:pStyle w:val="ListNumber"/>
      </w:pPr>
      <w:r>
        <w:rPr>
          <w:b/>
        </w:rPr>
        <w:t>The model is not an offer</w:t>
      </w:r>
      <w:r>
        <w:t xml:space="preserve"> and does not guarantee a result.</w:t>
      </w:r>
    </w:p>
    <w:p>
      <w:pPr>
        <w:jc w:val="both"/>
      </w:pPr>
      <w:r>
        <w:rPr>
          <w:b/>
        </w:rPr>
        <w:t>Edition v5 · 07.09.2026 · computed programmatically; convergence self-check passed.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