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Wedge / Pilot-light under the existing 259-FZ</w:t>
      </w:r>
    </w:p>
    <w:p>
      <w:pPr>
        <w:ind w:left="360"/>
      </w:pPr>
      <w:r>
        <w:rPr>
          <w:b/>
          <w:i/>
          <w:color w:val="444444"/>
        </w:rPr>
        <w:t>Note.</w:t>
      </w:r>
      <w:r>
        <w:rPr>
          <w:i/>
          <w:color w:val="444444"/>
        </w:rPr>
        <w:t xml:space="preserve"> This translation follows the Russian original. The financial part of the original was recalculated on 07.09.2026 (model v5); the figures of this translation have been brought into line with that calculation. In case of any discrepancy in wording, the Russian version prevails.</w:t>
      </w:r>
    </w:p>
    <w:p>
      <w:pPr>
        <w:jc w:val="both"/>
      </w:pPr>
      <w:r>
        <w:rPr>
          <w:b/>
        </w:rPr>
        <w:t>Document:</w:t>
      </w:r>
      <w:r>
        <w:t xml:space="preserve"> the concept of a minimum viable contour ("wedge") of an IS DFA operator that does not require amendments to 86-FZ and to the legislation around the digital ruble. </w:t>
      </w:r>
      <w:r>
        <w:rPr>
          <w:b/>
        </w:rPr>
        <w:t>Objective:</w:t>
      </w:r>
      <w:r>
        <w:t xml:space="preserve"> close RED flag D5 of the composite audit of 24.05.2026 ("a wedge / pilot-light version is missing"). </w:t>
      </w:r>
      <w:r>
        <w:rPr>
          <w:b/>
        </w:rPr>
        <w:t>Strategic logic:</w:t>
      </w:r>
      <w:r>
        <w:t xml:space="preserve"> do not approach the Bank of Russia at the first step with a construction requiring a package of four federal laws; enter through a wedge-pilot under the existing 259-FZ via the VEB.RF / Ministry of Economic Development / partner bank / 779-P operator alliance; after 18–36 months of actual operation, open a dialogue with the CBR via a consolidated inter-agency position. </w:t>
      </w:r>
      <w:r>
        <w:rPr>
          <w:b/>
        </w:rPr>
        <w:t>Date:</w:t>
      </w:r>
      <w:r>
        <w:t xml:space="preserve"> 24.05.2026.</w:t>
      </w:r>
    </w:p>
    <w:p>
      <w:pPr>
        <w:pStyle w:val="Heading2"/>
      </w:pPr>
      <w:r>
        <w:t>1. What the wedge / pilot-light is</w:t>
      </w:r>
    </w:p>
    <w:p>
      <w:pPr>
        <w:jc w:val="both"/>
      </w:pPr>
      <w:r>
        <w:t>The wedge is the minimum platform configuration in which:</w:t>
      </w:r>
    </w:p>
    <w:p>
      <w:pPr>
        <w:pStyle w:val="ListBullet"/>
      </w:pPr>
      <w:r>
        <w:rPr>
          <w:b/>
        </w:rPr>
        <w:t>The value proposition is preserved</w:t>
      </w:r>
      <w:r>
        <w:t xml:space="preserve"> (issuance of targeted DFA against pledged assets, with targeted use of proceeds for social development projects).</w:t>
      </w:r>
    </w:p>
    <w:p>
      <w:pPr>
        <w:pStyle w:val="ListBullet"/>
      </w:pPr>
      <w:r>
        <w:rPr>
          <w:b/>
        </w:rPr>
        <w:t>The principal regulatory risk is removed</w:t>
      </w:r>
      <w:r>
        <w:t xml:space="preserve"> (abandoning the formulation "targeted issuance by the Bank of Russia").</w:t>
      </w:r>
    </w:p>
    <w:p>
      <w:pPr>
        <w:pStyle w:val="ListBullet"/>
      </w:pPr>
      <w:r>
        <w:rPr>
          <w:b/>
        </w:rPr>
        <w:t>The source of targeted funding is replaced</w:t>
      </w:r>
      <w:r>
        <w:t xml:space="preserve"> — instead of CBR issuance, the existing channel of institutional financing through development institution / partner bank / sectoral institution is used.</w:t>
      </w:r>
    </w:p>
    <w:p>
      <w:pPr>
        <w:pStyle w:val="ListBullet"/>
      </w:pPr>
      <w:r>
        <w:rPr>
          <w:b/>
        </w:rPr>
        <w:t>A basic unit-economic contour is obtained</w:t>
      </w:r>
      <w:r>
        <w:t xml:space="preserve"> (revenue from issuance and servicing commissions).</w:t>
      </w:r>
    </w:p>
    <w:p>
      <w:pPr>
        <w:pStyle w:val="ListBullet"/>
      </w:pPr>
      <w:r>
        <w:rPr>
          <w:b/>
        </w:rPr>
        <w:t>A negotiation artefact is created</w:t>
      </w:r>
      <w:r>
        <w:t xml:space="preserve"> for subsequent dialogue with the CBR through a consolidated inter-agency position.</w:t>
      </w:r>
    </w:p>
    <w:p>
      <w:pPr>
        <w:jc w:val="both"/>
      </w:pPr>
      <w:r>
        <w:t>This regime does not require amendments to 86-FZ or the Budget Code; it fits entirely within the current 259-FZ + CBR Regulation 779-P.</w:t>
      </w:r>
    </w:p>
    <w:p>
      <w:pPr>
        <w:pStyle w:val="Heading2"/>
      </w:pPr>
      <w:r>
        <w:t>2. Parameters of the wedge-pilot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Pilot region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Republic of Tatarstan or Tyumen Region (selected following negotiations with the regional government)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Type of pledged property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Municipal and state real estate (no private individuals at the first stage — to minimise consumer risks)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First-year pool size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5–10 bn (50–100 objects from the municipality)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Starting partner bank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 partner bank (decided by MoU)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Starting insurer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Sogor / Ingosstrakh / SOGAZ-SK (tender)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Source of targeted funding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Infrastructure loans from VEB.RF (Project Finance Factory) under state guarantees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Regulatory base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259-FZ + 779-P + the experimental legal regime under 258-FZ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Launch timing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Q3 2028 (T+18 months from incorporation of the JSC)</w:t>
            </w:r>
          </w:p>
        </w:tc>
      </w:tr>
    </w:tbl>
    <w:p/>
    <w:p>
      <w:pPr>
        <w:pStyle w:val="Heading2"/>
      </w:pPr>
      <w:r>
        <w:t>3. Stakeholders of the wedge-pilot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Stakeholder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Engagement strategy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Government of Tatarstan / Tyumen Region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Customer of the pilot, supplier of the municipal collateral base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MoU; the case of "reducing pressure on the regional budget"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VEB.RF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Source of institutional funding; removes the mandate conflict with the CBR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channel through the Project Finance Factory; named sponsor — Deputy Minister of Economic Development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partner bank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Settlement bank of the pilot; partner on DFA issuance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on project financing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Atomyze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Technology partnership: an incumbent 779-P operator — operator of the transaction under its licence (the IS DFA operator licence is individual and non-transferable, sublease is not permitted); CPFSR — front-end / agent of collateral onboarding and valuation, KYC, technological infrastructure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 bilateral technology partnership agreement; DLT-stack interoperability; sharing of functions and revenues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Insurance company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Coverage of the collateral pool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Tender among insurers licensed by the CBR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Ministry of Economic Development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Political ally (national projects are their KPI)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Main entry channel; named sponsor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Ministry of Finance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 of the tax position; reduction of pressure on the OFZ market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 to the Ministry of Finance under Article 34.2 of the Tax Code; the "off-budget channel" case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Bank of Russia (supervisory regulator under Article 4 of 86-FZ)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Experimental legal regime (ELR), the register of IS DFA operators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Through a consolidated inter-agency position (not the first call)</w:t>
            </w:r>
          </w:p>
        </w:tc>
      </w:tr>
    </w:tbl>
    <w:p/>
    <w:p>
      <w:pPr>
        <w:pStyle w:val="Heading3"/>
      </w:pPr>
      <w:r>
        <w:t>3.1. Champion-map (by name, per the clarifying audit of 24.05.2026)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Named champion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 / interest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Contact priority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Ministry of Economic Development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the relevant official</w:t>
            </w:r>
            <w:r>
              <w:rPr>
                <w:sz w:val="17"/>
              </w:rPr>
              <w:t>, Minister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Principal ally: KPIs on national projects, interested in tools to accelerate execution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T+1 to T+3 months (first point of entry)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Ministry of Finance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the relevant official</w:t>
            </w:r>
            <w:r>
              <w:rPr>
                <w:sz w:val="17"/>
              </w:rPr>
              <w:t>, Deputy Minister (external debt and debt policy)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Off-budget channel for infrastructure financing — relief of pressure on the OFZ market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 to T+6 months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Ministry of Finance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the relevant official</w:t>
            </w:r>
            <w:r>
              <w:rPr>
                <w:sz w:val="17"/>
              </w:rPr>
              <w:t>, Deputy Minister (tax policy)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 of the DFA tax position (Article 34.2 of the Tax Code)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 to T+6 months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State Duma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the relevant official</w:t>
            </w:r>
            <w:r>
              <w:rPr>
                <w:sz w:val="17"/>
              </w:rPr>
              <w:t>, Chair of the Financial Market Committee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Channel for legislation for the horizon phase (T+24+); advisory support on interpretation of 259-FZ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T+6 to T+12 months (for the horizon)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VEB.RF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Through the Project Finance Factory — specialised departments for infrastructure projects; LoI / consultative letter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Source of targeted funding (Project Finance Factory under Government Decree No. 158)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 to T+6 months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Regional governments (pilot)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Tatarstan</w:t>
            </w:r>
            <w:r>
              <w:rPr>
                <w:sz w:val="17"/>
              </w:rPr>
              <w:t xml:space="preserve"> — the relevant official (digital transformation); </w:t>
            </w:r>
            <w:r>
              <w:rPr>
                <w:b/>
                <w:sz w:val="17"/>
              </w:rPr>
              <w:t>Tyumen Region</w:t>
            </w:r>
            <w:r>
              <w:rPr>
                <w:sz w:val="17"/>
              </w:rPr>
              <w:t xml:space="preserve"> — the relevant official; </w:t>
            </w:r>
            <w:r>
              <w:rPr>
                <w:b/>
                <w:sz w:val="17"/>
              </w:rPr>
              <w:t>Bashkortostan</w:t>
            </w:r>
            <w:r>
              <w:rPr>
                <w:sz w:val="17"/>
              </w:rPr>
              <w:t xml:space="preserve"> — reserve option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Suppliers of the municipal collateral base; political will for the pilot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T+6 to T+9 months (via MoU)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Bank of Russia (for the horizon phase)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Through the consolidated inter-agency position of the Ministry of Economic Development + Ministry of Finance + State Duma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Inclusion of the targeted-issuance institute in the roadmap on T+24+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Only after a wedge track record of ≥ 12 months</w:t>
            </w:r>
          </w:p>
        </w:tc>
      </w:tr>
    </w:tbl>
    <w:p/>
    <w:p>
      <w:pPr>
        <w:pStyle w:val="Heading2"/>
      </w:pPr>
      <w:r>
        <w:t>4. Steps to launch the wedge-pilot</w:t>
      </w:r>
    </w:p>
    <w:p>
      <w:pPr>
        <w:pStyle w:val="Heading3"/>
      </w:pPr>
      <w:r>
        <w:t>Stage 0 — Preparatory (T+0 to T+3 months)</w:t>
      </w:r>
    </w:p>
    <w:p>
      <w:pPr>
        <w:pStyle w:val="ListNumber"/>
      </w:pPr>
      <w:r>
        <w:t xml:space="preserve">Incorporation of the JSC "CPFSR" (see </w:t>
      </w:r>
      <w:r>
        <w:rPr>
          <w:rFonts w:ascii="Consolas" w:hAnsi="Consolas"/>
          <w:sz w:val="18"/>
        </w:rPr>
        <w:t>02_Юридический_фундамент/Учреждение_АО_оператора_и_РКН.md</w:t>
      </w:r>
      <w:r>
        <w:t>).</w:t>
      </w:r>
    </w:p>
    <w:p>
      <w:pPr>
        <w:pStyle w:val="ListNumber"/>
      </w:pPr>
      <w:r>
        <w:t>Appointment of 779-P-mandated officers.</w:t>
      </w:r>
    </w:p>
    <w:p>
      <w:pPr>
        <w:pStyle w:val="ListNumber"/>
      </w:pPr>
      <w:r>
        <w:t>Submissions to Rospatent / Roskomnadzor / Rosfinmonitoring.</w:t>
      </w:r>
    </w:p>
    <w:p>
      <w:pPr>
        <w:pStyle w:val="Heading3"/>
      </w:pPr>
      <w:r>
        <w:t>Stage 1 — Memo wrapper and champion search (T+3 to T+9 months)</w:t>
      </w:r>
    </w:p>
    <w:p>
      <w:pPr>
        <w:pStyle w:val="ListNumber"/>
      </w:pPr>
      <w:r>
        <w:rPr>
          <w:b/>
        </w:rPr>
        <w:t>Memo wrapper for the Ministry of Economic Development / Office of the Government:</w:t>
      </w:r>
      <w:r>
        <w:t xml:space="preserve"> positioning as a tool to accelerate national projects (not as a monetary reform). The formulation: "targeted funding through the institutional infrastructure of VEB.RF / Federal Treasury with the Bank of Russia acting as the supervisory regulator".</w:t>
      </w:r>
    </w:p>
    <w:p>
      <w:pPr>
        <w:pStyle w:val="ListNumber"/>
      </w:pPr>
      <w:r>
        <w:rPr>
          <w:b/>
        </w:rPr>
        <w:t>Champion search:</w:t>
      </w:r>
      <w:r>
        <w:t xml:space="preserve"> identify a political carrier (Deputy Minister of Economic Development / Adviser to the Chair of the Government). Without a champion the project will not move.</w:t>
      </w:r>
    </w:p>
    <w:p>
      <w:pPr>
        <w:pStyle w:val="ListNumber"/>
      </w:pPr>
      <w:r>
        <w:rPr>
          <w:b/>
        </w:rPr>
        <w:t>MoU with one bank</w:t>
      </w:r>
      <w:r>
        <w:t xml:space="preserve"> (a partner bank) and one insurer.</w:t>
      </w:r>
    </w:p>
    <w:p>
      <w:pPr>
        <w:pStyle w:val="ListNumber"/>
      </w:pPr>
      <w:r>
        <w:rPr>
          <w:b/>
        </w:rPr>
        <w:t>MoU with the pilot region</w:t>
      </w:r>
      <w:r>
        <w:t xml:space="preserve"> (selection of Tatarstan / Tyumen Region).</w:t>
      </w:r>
    </w:p>
    <w:p>
      <w:pPr>
        <w:pStyle w:val="Heading3"/>
      </w:pPr>
      <w:r>
        <w:t>Stage 2 — Regulatory clearances (T+9 to T+15 months)</w:t>
      </w:r>
    </w:p>
    <w:p>
      <w:pPr>
        <w:pStyle w:val="ListNumber"/>
      </w:pPr>
      <w:r>
        <w:rPr>
          <w:b/>
        </w:rPr>
        <w:t>Application for inclusion in the register of IS DFA operators</w:t>
      </w:r>
      <w:r>
        <w:t xml:space="preserve"> of the Bank of Russia (779-P).</w:t>
      </w:r>
    </w:p>
    <w:p>
      <w:pPr>
        <w:pStyle w:val="ListNumber"/>
      </w:pPr>
      <w:r>
        <w:rPr>
          <w:b/>
        </w:rPr>
        <w:t>Application for the CBR experimental legal regime</w:t>
      </w:r>
      <w:r>
        <w:t xml:space="preserve"> (258-FZ).</w:t>
      </w:r>
    </w:p>
    <w:p>
      <w:pPr>
        <w:pStyle w:val="ListNumber"/>
      </w:pPr>
      <w:r>
        <w:rPr>
          <w:b/>
        </w:rPr>
        <w:t>Approval of the IS rules</w:t>
      </w:r>
      <w:r>
        <w:t xml:space="preserve"> (Article 6 of 259-FZ).</w:t>
      </w:r>
    </w:p>
    <w:p>
      <w:pPr>
        <w:pStyle w:val="ListNumber"/>
      </w:pPr>
      <w:r>
        <w:rPr>
          <w:b/>
        </w:rPr>
        <w:t>Obtaining sectoral certifications</w:t>
      </w:r>
      <w:r>
        <w:t xml:space="preserve"> of FSTEC / FSB.</w:t>
      </w:r>
    </w:p>
    <w:p>
      <w:pPr>
        <w:pStyle w:val="ListNumber"/>
      </w:pPr>
      <w:r>
        <w:rPr>
          <w:b/>
        </w:rPr>
        <w:t>Ministry of Finance opinion</w:t>
      </w:r>
      <w:r>
        <w:t xml:space="preserve"> on the tax position (Article 34.2 of the Tax Code).</w:t>
      </w:r>
    </w:p>
    <w:p>
      <w:pPr>
        <w:pStyle w:val="Heading3"/>
      </w:pPr>
      <w:r>
        <w:t>Stage 3 — Pilot phase (T+15 to T+24 months)</w:t>
      </w:r>
    </w:p>
    <w:p>
      <w:pPr>
        <w:pStyle w:val="ListNumber"/>
      </w:pPr>
      <w:r>
        <w:rPr>
          <w:b/>
        </w:rPr>
        <w:t>Connection of the municipal base of the pilot region</w:t>
      </w:r>
      <w:r>
        <w:t xml:space="preserve"> (50–100 objects).</w:t>
      </w:r>
    </w:p>
    <w:p>
      <w:pPr>
        <w:pStyle w:val="ListNumber"/>
      </w:pPr>
      <w:r>
        <w:rPr>
          <w:b/>
        </w:rPr>
        <w:t>First cycle of targeted DFA issuance</w:t>
      </w:r>
      <w:r>
        <w:t xml:space="preserve"> on the basis of the municipal collateral pool.</w:t>
      </w:r>
    </w:p>
    <w:p>
      <w:pPr>
        <w:pStyle w:val="ListNumber"/>
      </w:pPr>
      <w:r>
        <w:rPr>
          <w:b/>
        </w:rPr>
        <w:t>Targeted funding through VEB.RF</w:t>
      </w:r>
      <w:r>
        <w:t xml:space="preserve"> (Project Finance Factory) under regional guarantees.</w:t>
      </w:r>
    </w:p>
    <w:p>
      <w:pPr>
        <w:pStyle w:val="ListNumber"/>
      </w:pPr>
      <w:r>
        <w:rPr>
          <w:b/>
        </w:rPr>
        <w:t>Financing of a national project</w:t>
      </w:r>
      <w:r>
        <w:t xml:space="preserve"> (for example, refurbishment of utility facilities or construction of social housing).</w:t>
      </w:r>
    </w:p>
    <w:p>
      <w:pPr>
        <w:pStyle w:val="ListNumber"/>
      </w:pPr>
      <w:r>
        <w:rPr>
          <w:b/>
        </w:rPr>
        <w:t>Accounting of operations</w:t>
      </w:r>
      <w:r>
        <w:t xml:space="preserve"> within the current legal architecture (without amendments to 86-FZ).</w:t>
      </w:r>
    </w:p>
    <w:p>
      <w:pPr>
        <w:pStyle w:val="Heading3"/>
      </w:pPr>
      <w:r>
        <w:t>Stage 4 — Scaling (T+24 to T+36 months)</w:t>
      </w:r>
    </w:p>
    <w:p>
      <w:pPr>
        <w:pStyle w:val="ListNumber"/>
      </w:pPr>
      <w:r>
        <w:rPr>
          <w:b/>
        </w:rPr>
        <w:t>Expansion to 3–5 regions</w:t>
      </w:r>
      <w:r>
        <w:t xml:space="preserve"> (replication of the model).</w:t>
      </w:r>
    </w:p>
    <w:p>
      <w:pPr>
        <w:pStyle w:val="ListNumber"/>
      </w:pPr>
      <w:r>
        <w:rPr>
          <w:b/>
        </w:rPr>
        <w:t>Inclusion of a second collateral class</w:t>
      </w:r>
      <w:r>
        <w:t xml:space="preserve"> (regional commercial real estate).</w:t>
      </w:r>
    </w:p>
    <w:p>
      <w:pPr>
        <w:pStyle w:val="ListNumber"/>
      </w:pPr>
      <w:r>
        <w:rPr>
          <w:b/>
        </w:rPr>
        <w:t>Connection of a second partner bank</w:t>
      </w:r>
      <w:r>
        <w:t xml:space="preserve"> (diversification).</w:t>
      </w:r>
    </w:p>
    <w:p>
      <w:pPr>
        <w:pStyle w:val="ListNumber"/>
      </w:pPr>
      <w:r>
        <w:rPr>
          <w:b/>
        </w:rPr>
        <w:t>Connection of a second insurance company</w:t>
      </w:r>
      <w:r>
        <w:t>.</w:t>
      </w:r>
    </w:p>
    <w:p>
      <w:pPr>
        <w:pStyle w:val="ListNumber"/>
      </w:pPr>
      <w:r>
        <w:rPr>
          <w:b/>
        </w:rPr>
        <w:t>Preparation of a consolidated inter-agency position</w:t>
      </w:r>
      <w:r>
        <w:t xml:space="preserve"> (CBR + Ministry of Finance + Ministry of Economic Development + VEB.RF) for the horizon entry into the Bank of Russia with a targeted-funding construction.</w:t>
      </w:r>
    </w:p>
    <w:p>
      <w:pPr>
        <w:pStyle w:val="Heading3"/>
      </w:pPr>
      <w:r>
        <w:t>Stage 5 — Horizon phase (T+36+ months)</w:t>
      </w:r>
    </w:p>
    <w:p>
      <w:pPr>
        <w:pStyle w:val="ListNumber"/>
      </w:pPr>
      <w:r>
        <w:t xml:space="preserve">Through the accumulated 18–24-month track record of the wedge-pilot — </w:t>
      </w:r>
      <w:r>
        <w:rPr>
          <w:b/>
        </w:rPr>
        <w:t>enter the Bank of Russia with a consolidated inter-agency position</w:t>
      </w:r>
      <w:r>
        <w:t>.</w:t>
      </w:r>
    </w:p>
    <w:p>
      <w:pPr>
        <w:pStyle w:val="ListNumber"/>
      </w:pPr>
      <w:r>
        <w:t>Lobbying of the package of four federal laws (86-FZ, 259-FZ, Budget Code, Civil Code) — Ministry of Digital Development + Ministry of Finance + CBR + Ministry of Economic Development.</w:t>
      </w:r>
    </w:p>
    <w:p>
      <w:pPr>
        <w:pStyle w:val="ListNumber"/>
      </w:pPr>
      <w:r>
        <w:t>Sub-legislative acts, a CBR Directive, a joint order of Ministry of Finance / CBR / Ministry of Digital Development / Rosreestr / Federal Treasury.</w:t>
      </w:r>
    </w:p>
    <w:p>
      <w:pPr>
        <w:pStyle w:val="ListNumber"/>
      </w:pPr>
      <w:r>
        <w:t>Full-scale launch with the targeted-funding construction.</w:t>
      </w:r>
    </w:p>
    <w:p>
      <w:pPr>
        <w:pStyle w:val="Heading2"/>
      </w:pPr>
      <w:r>
        <w:t>5. Financial logic of the wedge-pilot</w:t>
      </w:r>
    </w:p>
    <w:p>
      <w:pPr>
        <w:pStyle w:val="Heading3"/>
      </w:pPr>
      <w:r>
        <w:t>5.1. Unit economics of the pilot, Year 1 (2027)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Indicator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Collateral pool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50 objects × RUB 100M = </w:t>
            </w:r>
            <w:r>
              <w:rPr>
                <w:b/>
                <w:sz w:val="17"/>
              </w:rPr>
              <w:t>RUB 5 bn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Issued DFA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5 bn nominal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Issuance commission (0.5%)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25M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Annual servicing commission (0.3% of stack)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15M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Platform fee for valuation/insurance (0.15%)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7.5M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Appraisal services (0.8% of volume)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40M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Full Year-1 revenue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 RUB 87.5M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Year-1 OpEx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70M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Year-1 EBITDA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 17.5M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Year-1 EBITDA margin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20%</w:t>
            </w:r>
          </w:p>
        </w:tc>
      </w:tr>
    </w:tbl>
    <w:p/>
    <w:p>
      <w:pPr>
        <w:pStyle w:val="Heading3"/>
      </w:pPr>
      <w:r>
        <w:t>5.2. Scaling of the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Regions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Collateral pool, RUB bn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Revenue, RUB bn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EBITDA margin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2027 (pilot)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2028 (expansion)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40%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2029 (expansion)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2030 (horizon phase)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8.4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65%</w:t>
            </w:r>
          </w:p>
        </w:tc>
      </w:tr>
    </w:tbl>
    <w:p/>
    <w:p>
      <w:pPr>
        <w:pStyle w:val="Heading3"/>
      </w:pPr>
      <w:r>
        <w:t>5.3. Cash-runway of the pilot</w:t>
      </w:r>
    </w:p>
    <w:p>
      <w:pPr>
        <w:jc w:val="both"/>
      </w:pPr>
      <w:r>
        <w:t>The starter financing is allocated as:</w:t>
      </w:r>
    </w:p>
    <w:p>
      <w:pPr>
        <w:pStyle w:val="ListBullet"/>
      </w:pPr>
      <w:r>
        <w:t>RUB 24.6 mn — incorporation of the JSC and regulatory registration.</w:t>
      </w:r>
    </w:p>
    <w:p>
      <w:pPr>
        <w:pStyle w:val="ListBullet"/>
      </w:pPr>
      <w:r>
        <w:t>RUB 720 mn — CapEx for the first 18 months (platform, data centres, licences).</w:t>
      </w:r>
    </w:p>
    <w:p>
      <w:pPr>
        <w:pStyle w:val="ListBullet"/>
      </w:pPr>
      <w:r>
        <w:t>RUB 502 + 220 = 722 mn — Year-1 OpEx (including payroll for 40 persons).</w:t>
      </w:r>
    </w:p>
    <w:p>
      <w:pPr>
        <w:jc w:val="both"/>
      </w:pPr>
      <w:r>
        <w:rPr>
          <w:b/>
        </w:rPr>
        <w:t>Financing requirement.</w:t>
      </w:r>
      <w:r>
        <w:t xml:space="preserve"> In the base scenario the peak falls at the end of 2028 and amounts to RUB 1,701 mn; in the conservative (wedge) scenario RUB 2,277 mn, because revenue grows more slowly against the same costs. The stated round of RUB 1.8 bn covers the base scenario with a cushion and the conservative one by 79%; the remainder is closed by an interim tranche.</w:t>
      </w:r>
    </w:p>
    <w:p>
      <w:pPr>
        <w:pStyle w:val="Heading2"/>
      </w:pPr>
      <w:r>
        <w:t>6. Competitive analysis of the wedge-pilot</w:t>
      </w:r>
    </w:p>
    <w:p>
      <w:pPr>
        <w:jc w:val="both"/>
      </w:pPr>
      <w:r>
        <w:t>Audit point D-2 noted competitors not reflected in the DD. The wedge strategy co-opts them: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Competitor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Wedge strategy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Atomyze, Masterchain, Lighthouse, Sber CFA, Alfa CFA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Co-option through a consortium model. one of the incumbent 779-P operators (operator of the transaction under its 779-P licence — the licence is non-transferable between legal entities; division of functions: CPFSR — front-end/agent, Atomyze — operator); the others are included in the roadmap as DLT-infrastructure suppliers or complementary services.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Moscow Exchange / SPB Exchange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Not a competitor in the wedge phase (they do not work with collateralised real estate). A partner on the secondary DFA market.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VEB.RF Platform "ROIV" and the "Project Finance Factory"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 a competitor but a source of targeted funding</w:t>
            </w:r>
            <w:r>
              <w:rPr>
                <w:sz w:val="17"/>
              </w:rPr>
              <w:t xml:space="preserve"> in the wedge. VEB.RF becomes the central ally.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DOM.RF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Partner on real-estate tokenisation (specialisation on the residential sector). MoU after the pilot.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действующий оператор 779-P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Defence against a "killer" — an early technology partnership (transaction operator + interoperability agreement; without licence transfer).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Digital ruble (340-FZ)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 architectural complement: CPFSR works with collateral; the digital ruble is a settlement instrument. Not a competitor.</w:t>
            </w:r>
          </w:p>
        </w:tc>
      </w:tr>
    </w:tbl>
    <w:p/>
    <w:p>
      <w:pPr>
        <w:pStyle w:val="Heading2"/>
      </w:pPr>
      <w:r>
        <w:t>7. Defence against the mandate conflict</w:t>
      </w:r>
    </w:p>
    <w:p>
      <w:pPr>
        <w:jc w:val="both"/>
      </w:pPr>
      <w:r>
        <w:t xml:space="preserve">The principal advantage of the wedge: </w:t>
      </w:r>
      <w:r>
        <w:rPr>
          <w:b/>
        </w:rPr>
        <w:t>the project does not approach the CBR with a request for issuance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Argument against a CBR mandate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Wedge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The CBR has no powers for targeted issuance (Articles 4, 22, 75 of 86-FZ)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 the wedge — targeted funding through VEB.RF / Treasury; no amendments to 86-FZ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Ruble issuance against illiquid collateral — QE with hidden credit risk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 the wedge — funding via VEB.RF under regional state guarantees; credit risk on the VEB.RF balance sheet, not on the CBR's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Double-counting of collateral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 the wedge — none: VEB.RF extends a real loan against real collateral; DFA is a settlement instrument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Regulatory binary nature (10 sub-legislative acts — a political project)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 the wedge — no amendments to current legislation are required; only clearances within 259-FZ and 258-FZ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Time to first DFA issuance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In the wedge — </w:t>
            </w:r>
            <w:r>
              <w:rPr>
                <w:b/>
                <w:sz w:val="17"/>
              </w:rPr>
              <w:t>T+18 months from incorporation of the JSC</w:t>
            </w:r>
            <w:r>
              <w:rPr>
                <w:sz w:val="17"/>
              </w:rPr>
              <w:t xml:space="preserve"> (single timeframe: see § 2 header Q3 2028); the steps in § 4 are calibrated to this KPI. The horizon phase with the legislative package — T+36 to T+60 months realistic</w:t>
            </w:r>
          </w:p>
        </w:tc>
      </w:tr>
    </w:tbl>
    <w:p/>
    <w:p>
      <w:pPr>
        <w:pStyle w:val="Heading2"/>
      </w:pPr>
      <w:r>
        <w:t>8. Key success criteria of the wedge-pilot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JSC incorporation + officer appointments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Per 779-P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months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with the pilot region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T+9 months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with the bank and the insurer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T+9 months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Inclusion in the IS DFA operators register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Obtained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regime authorisation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Obtained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First cycle of targeted DFA issuance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RUB 5 bn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T+18 months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First targeted funding through VEB.RF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RUB 5 bn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T+19 months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Expansion to 3 regions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Launch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T+24 months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Consolidated inter-agency position for entering the CBR with the legislative package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T+30 months</w:t>
            </w:r>
          </w:p>
        </w:tc>
      </w:tr>
    </w:tbl>
    <w:p/>
    <w:p>
      <w:pPr>
        <w:pStyle w:val="Heading2"/>
      </w:pPr>
      <w:r>
        <w:t>9. What the wedge-pilot changes in the financial model</w:t>
      </w:r>
    </w:p>
    <w:p>
      <w:pPr>
        <w:jc w:val="both"/>
      </w:pPr>
      <w:r>
        <w:t xml:space="preserve">The </w:t>
      </w:r>
      <w:r>
        <w:rPr>
          <w:b/>
        </w:rPr>
        <w:t>Financial Model</w:t>
      </w:r>
      <w:r>
        <w:t xml:space="preserve"> (</w:t>
      </w:r>
      <w:r>
        <w:rPr>
          <w:rFonts w:ascii="Consolas" w:hAnsi="Consolas"/>
          <w:sz w:val="18"/>
        </w:rPr>
        <w:t>03_Финансовая_модель/Финансовая_модель_ЦП_РСФСР.md</w:t>
      </w:r>
      <w:r>
        <w:t>) accounts for the wedge regime in the Conservative scenario:</w:t>
      </w:r>
    </w:p>
    <w:p>
      <w:pPr>
        <w:pStyle w:val="ListBullet"/>
      </w:pPr>
      <w:r>
        <w:t>Year-10 market share — 7% (against 18% in the base scenario).</w:t>
      </w:r>
    </w:p>
    <w:p>
      <w:pPr>
        <w:pStyle w:val="ListBullet"/>
      </w:pPr>
      <w:r>
        <w:t>Enterprise value — RUB 20.1 bn (against RUB 63.0 bn in the base scenario).</w:t>
      </w:r>
    </w:p>
    <w:p>
      <w:pPr>
        <w:pStyle w:val="ListBullet"/>
      </w:pPr>
      <w:r>
        <w:t>Payback — 3.94 years (against 2.73 in the base scenario).</w:t>
      </w:r>
    </w:p>
    <w:p>
      <w:pPr>
        <w:pStyle w:val="ListBullet"/>
      </w:pPr>
      <w:r>
        <w:t>Peak financing requirement — RUB 2,277M (against RUB 1,701M).</w:t>
      </w:r>
    </w:p>
    <w:p>
      <w:pPr>
        <w:jc w:val="both"/>
      </w:pPr>
      <w:r>
        <w:rPr>
          <w:b/>
        </w:rPr>
        <w:t>The Conservative wedge scenario is the floor</w:t>
      </w:r>
      <w:r>
        <w:t>, below which the project does not fall even under a complete refusal of the legislative package.</w:t>
      </w:r>
    </w:p>
    <w:p>
      <w:pPr>
        <w:pStyle w:val="Heading2"/>
      </w:pPr>
      <w:r>
        <w:t>10. Conclusion</w:t>
      </w:r>
    </w:p>
    <w:p>
      <w:pPr>
        <w:jc w:val="both"/>
      </w:pPr>
      <w:r>
        <w:t xml:space="preserve">The wedge / pilot-light under the existing 259-FZ is </w:t>
      </w:r>
      <w:r>
        <w:rPr>
          <w:b/>
        </w:rPr>
        <w:t>a necessary strategic pivot</w:t>
      </w:r>
      <w:r>
        <w:t xml:space="preserve"> following audit point D5. It renders the project:</w:t>
      </w:r>
    </w:p>
    <w:p>
      <w:pPr>
        <w:pStyle w:val="ListBullet"/>
      </w:pPr>
      <w:r>
        <w:rPr>
          <w:b/>
        </w:rPr>
        <w:t>Regulatorily realistic</w:t>
      </w:r>
      <w:r>
        <w:t xml:space="preserve"> (it does not require a package of four federal laws to launch).</w:t>
      </w:r>
    </w:p>
    <w:p>
      <w:pPr>
        <w:pStyle w:val="ListBullet"/>
      </w:pPr>
      <w:r>
        <w:rPr>
          <w:b/>
        </w:rPr>
        <w:t>Politically neutral</w:t>
      </w:r>
      <w:r>
        <w:t xml:space="preserve"> (it does not threaten the CBR mandate).</w:t>
      </w:r>
    </w:p>
    <w:p>
      <w:pPr>
        <w:pStyle w:val="ListBullet"/>
      </w:pPr>
      <w:r>
        <w:rPr>
          <w:b/>
        </w:rPr>
        <w:t>Financially defended</w:t>
      </w:r>
      <w:r>
        <w:t xml:space="preserve"> (enterprise value RUB 20.1 bn even if the package of amendments is refused).</w:t>
      </w:r>
    </w:p>
    <w:p>
      <w:pPr>
        <w:pStyle w:val="ListBullet"/>
      </w:pPr>
      <w:r>
        <w:rPr>
          <w:b/>
        </w:rPr>
        <w:t>Negotiationally strong</w:t>
      </w:r>
      <w:r>
        <w:t xml:space="preserve"> (after 24 months of actual operation — a consolidated position for entering the CBR with the legislative package).</w:t>
      </w:r>
    </w:p>
    <w:p>
      <w:pPr>
        <w:jc w:val="both"/>
      </w:pPr>
      <w:r>
        <w:t>This is the final artefact that closes strategic RED flag D5.</w:t>
      </w:r>
    </w:p>
    <w:p>
      <w:pPr>
        <w:jc w:val="both"/>
      </w:pPr>
      <w:r>
        <w:rPr>
          <w:b/>
        </w:rPr>
        <w:t>Preparation date:</w:t>
      </w:r>
      <w:r>
        <w:t xml:space="preserve"> 24.05.2026. </w:t>
      </w:r>
      <w:r>
        <w:rPr>
          <w:b/>
        </w:rPr>
        <w:t>Prepared:</w:t>
      </w:r>
      <w:r>
        <w:t xml:space="preserve"> within the remediation of RED flags of the composite audit; reconciled with the financial model and the legal foundation.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