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International Valuation of the CPFSR Project</w:t>
      </w:r>
    </w:p>
    <w:p>
      <w:pPr>
        <w:ind w:left="360"/>
      </w:pPr>
      <w:r>
        <w:rPr>
          <w:b/>
          <w:i/>
          <w:color w:val="444444"/>
        </w:rPr>
        <w:t>Note.</w:t>
      </w:r>
      <w:r>
        <w:rPr>
          <w:i/>
          <w:color w:val="444444"/>
        </w:rPr>
        <w:t xml:space="preserve"> This translation follows the Russian original. The financial part of the original was recalculated on 07.09.2026 (model v5); the figures of this translation have been brought into line with that calculation. In case of any discrepancy in wording, the Russian version prevails.</w:t>
      </w:r>
    </w:p>
    <w:p>
      <w:pPr>
        <w:jc w:val="both"/>
      </w:pPr>
      <w:r>
        <w:rPr>
          <w:b/>
        </w:rPr>
        <w:t>Object of valuation:</w:t>
      </w:r>
      <w:r>
        <w:t xml:space="preserve"> Digital Platform "Russian Service for Social Development Financing" — an information system for the issuance of targeted DFA (operator under 779-P) with a horizon channel of targeted funding through the institutional infrastructure of VEB.RF / Federal Treasury, with the Bank of Russia acting as the supervisory regulator. Includes a fully developed mobile application, GOST 19 design documentation, platform builds for Android / iOS / Windows, and a RuStore publication pack. </w:t>
      </w:r>
      <w:r>
        <w:rPr>
          <w:b/>
        </w:rPr>
        <w:t>Know-how rightsholder:</w:t>
      </w:r>
      <w:r>
        <w:t xml:space="preserve"> Abdul-Khakim Akhmadovich Kagirov. Deposit certificate No. 4011265 of 19.12.2024 — fixation of the priority date and the hash of the work; protection regime — know-how (Article 1465 CC) + software (Article 1262 CC, registration with Rospatent in progress). </w:t>
      </w:r>
      <w:r>
        <w:rPr>
          <w:b/>
        </w:rPr>
        <w:t>Valuation date:</w:t>
      </w:r>
      <w:r>
        <w:t xml:space="preserve"> end of May 2026 (for negotiation purposes — pre-money, at the "MVP + ready client side" stage). The financial part was recalculated on 07.09.2026. </w:t>
      </w:r>
      <w:r>
        <w:rPr>
          <w:b/>
        </w:rPr>
        <w:t>Valuation standards:</w:t>
      </w:r>
      <w:r>
        <w:t xml:space="preserve"> IVS 2025 (International Valuation Standards), ASA Business Valuation Standards, IFRS 13 (Fair Value Measurement), 135-FZ (for application in the Russian Federation). </w:t>
      </w:r>
      <w:r>
        <w:rPr>
          <w:b/>
        </w:rPr>
        <w:t>Approach:</w:t>
      </w:r>
      <w:r>
        <w:t xml:space="preserve"> triangulation of four independent methods with weighted reconciliation and a single (one-stage) discount. </w:t>
      </w:r>
      <w:r>
        <w:rPr>
          <w:b/>
        </w:rPr>
        <w:t>Source of market parameters:</w:t>
      </w:r>
      <w:r>
        <w:t xml:space="preserve"> </w:t>
      </w:r>
      <w:r>
        <w:rPr>
          <w:rFonts w:ascii="Consolas" w:hAnsi="Consolas"/>
          <w:sz w:val="18"/>
        </w:rPr>
        <w:t>_Мастер/Единые_показатели_v2.md</w:t>
      </w:r>
      <w:r>
        <w:t xml:space="preserve"> (figures v5: CBR key rate 14.0%, FX 71.55 RUB/USD, ERP RF 8.13%) — the single source of truth for all project documents. The formal valuation report is </w:t>
      </w:r>
      <w:r>
        <w:rPr>
          <w:rFonts w:ascii="Consolas" w:hAnsi="Consolas"/>
          <w:sz w:val="18"/>
        </w:rPr>
        <w:t>DPFSR.RU_PRICE/Отчёт_об_оценке_ЦПФСР_2026-05-26</w:t>
      </w:r>
      <w:r>
        <w:t>; both are produced by the same calculation engine.</w:t>
      </w:r>
    </w:p>
    <w:p>
      <w:pPr>
        <w:pStyle w:val="Heading2"/>
      </w:pPr>
      <w:r>
        <w:t>1. Valuation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Method</w:t>
            </w:r>
          </w:p>
        </w:tc>
        <w:tc>
          <w:tcPr>
            <w:tcW w:type="dxa" w:w="2160"/>
          </w:tcPr>
          <w:p>
            <w:r>
              <w:rPr>
                <w:b/>
                <w:sz w:val="17"/>
              </w:rPr>
            </w:r>
            <w:r>
              <w:rPr>
                <w:b/>
                <w:sz w:val="17"/>
              </w:rPr>
              <w:t>Pre-money, USD</w:t>
            </w:r>
          </w:p>
        </w:tc>
        <w:tc>
          <w:tcPr>
            <w:tcW w:type="dxa" w:w="2160"/>
          </w:tcPr>
          <w:p>
            <w:r>
              <w:rPr>
                <w:b/>
                <w:sz w:val="17"/>
              </w:rPr>
            </w:r>
            <w:r>
              <w:rPr>
                <w:b/>
                <w:sz w:val="17"/>
              </w:rPr>
              <w:t>Pre-money, RUB</w:t>
            </w:r>
          </w:p>
        </w:tc>
        <w:tc>
          <w:tcPr>
            <w:tcW w:type="dxa" w:w="2160"/>
          </w:tcPr>
          <w:p>
            <w:r>
              <w:rPr>
                <w:b/>
                <w:sz w:val="17"/>
              </w:rPr>
            </w:r>
            <w:r>
              <w:rPr>
                <w:b/>
                <w:sz w:val="17"/>
              </w:rPr>
              <w:t>Weight</w:t>
            </w:r>
          </w:p>
        </w:tc>
      </w:tr>
      <w:tr>
        <w:tc>
          <w:tcPr>
            <w:tcW w:type="dxa" w:w="2160"/>
          </w:tcPr>
          <w:p>
            <w:r>
              <w:rPr>
                <w:sz w:val="17"/>
              </w:rPr>
            </w:r>
            <w:r>
              <w:rPr>
                <w:b/>
                <w:sz w:val="17"/>
              </w:rPr>
              <w:t>Income approach (DCF, Gordon terminal value)</w:t>
            </w:r>
          </w:p>
        </w:tc>
        <w:tc>
          <w:tcPr>
            <w:tcW w:type="dxa" w:w="2160"/>
          </w:tcPr>
          <w:p>
            <w:r>
              <w:rPr>
                <w:sz w:val="17"/>
              </w:rPr>
            </w:r>
            <w:r>
              <w:rPr>
                <w:sz w:val="17"/>
              </w:rPr>
              <w:t>USD 352M</w:t>
            </w:r>
          </w:p>
        </w:tc>
        <w:tc>
          <w:tcPr>
            <w:tcW w:type="dxa" w:w="2160"/>
          </w:tcPr>
          <w:p>
            <w:r>
              <w:rPr>
                <w:sz w:val="17"/>
              </w:rPr>
            </w:r>
            <w:r>
              <w:rPr>
                <w:sz w:val="17"/>
              </w:rPr>
              <w:t>RUB 25.19 bn</w:t>
            </w:r>
          </w:p>
        </w:tc>
        <w:tc>
          <w:tcPr>
            <w:tcW w:type="dxa" w:w="2160"/>
          </w:tcPr>
          <w:p>
            <w:r>
              <w:rPr>
                <w:sz w:val="17"/>
              </w:rPr>
            </w:r>
            <w:r>
              <w:rPr>
                <w:sz w:val="17"/>
              </w:rPr>
              <w:t>35%</w:t>
            </w:r>
          </w:p>
        </w:tc>
      </w:tr>
      <w:tr>
        <w:tc>
          <w:tcPr>
            <w:tcW w:type="dxa" w:w="2160"/>
          </w:tcPr>
          <w:p>
            <w:r>
              <w:rPr>
                <w:sz w:val="17"/>
              </w:rPr>
            </w:r>
            <w:r>
              <w:rPr>
                <w:b/>
                <w:sz w:val="17"/>
              </w:rPr>
              <w:t>Comparable Multiples</w:t>
            </w:r>
          </w:p>
        </w:tc>
        <w:tc>
          <w:tcPr>
            <w:tcW w:type="dxa" w:w="2160"/>
          </w:tcPr>
          <w:p>
            <w:r>
              <w:rPr>
                <w:sz w:val="17"/>
              </w:rPr>
            </w:r>
            <w:r>
              <w:rPr>
                <w:sz w:val="17"/>
              </w:rPr>
              <w:t>USD 380M</w:t>
            </w:r>
          </w:p>
        </w:tc>
        <w:tc>
          <w:tcPr>
            <w:tcW w:type="dxa" w:w="2160"/>
          </w:tcPr>
          <w:p>
            <w:r>
              <w:rPr>
                <w:sz w:val="17"/>
              </w:rPr>
            </w:r>
            <w:r>
              <w:rPr>
                <w:sz w:val="17"/>
              </w:rPr>
              <w:t>RUB 27.2 bn</w:t>
            </w:r>
          </w:p>
        </w:tc>
        <w:tc>
          <w:tcPr>
            <w:tcW w:type="dxa" w:w="2160"/>
          </w:tcPr>
          <w:p>
            <w:r>
              <w:rPr>
                <w:sz w:val="17"/>
              </w:rPr>
            </w:r>
            <w:r>
              <w:rPr>
                <w:sz w:val="17"/>
              </w:rPr>
              <w:t>30%</w:t>
            </w:r>
          </w:p>
        </w:tc>
      </w:tr>
      <w:tr>
        <w:tc>
          <w:tcPr>
            <w:tcW w:type="dxa" w:w="2160"/>
          </w:tcPr>
          <w:p>
            <w:r>
              <w:rPr>
                <w:sz w:val="17"/>
              </w:rPr>
            </w:r>
            <w:r>
              <w:rPr>
                <w:b/>
                <w:sz w:val="17"/>
              </w:rPr>
              <w:t>Berkus / Risk-Adjusted</w:t>
            </w:r>
          </w:p>
        </w:tc>
        <w:tc>
          <w:tcPr>
            <w:tcW w:type="dxa" w:w="2160"/>
          </w:tcPr>
          <w:p>
            <w:r>
              <w:rPr>
                <w:sz w:val="17"/>
              </w:rPr>
            </w:r>
            <w:r>
              <w:rPr>
                <w:sz w:val="17"/>
              </w:rPr>
              <w:t>USD 35M</w:t>
            </w:r>
          </w:p>
        </w:tc>
        <w:tc>
          <w:tcPr>
            <w:tcW w:type="dxa" w:w="2160"/>
          </w:tcPr>
          <w:p>
            <w:r>
              <w:rPr>
                <w:sz w:val="17"/>
              </w:rPr>
            </w:r>
            <w:r>
              <w:rPr>
                <w:sz w:val="17"/>
              </w:rPr>
              <w:t>RUB 2.5 bn</w:t>
            </w:r>
          </w:p>
        </w:tc>
        <w:tc>
          <w:tcPr>
            <w:tcW w:type="dxa" w:w="2160"/>
          </w:tcPr>
          <w:p>
            <w:r>
              <w:rPr>
                <w:sz w:val="17"/>
              </w:rPr>
            </w:r>
            <w:r>
              <w:rPr>
                <w:sz w:val="17"/>
              </w:rPr>
              <w:t>25%</w:t>
            </w:r>
          </w:p>
        </w:tc>
      </w:tr>
      <w:tr>
        <w:tc>
          <w:tcPr>
            <w:tcW w:type="dxa" w:w="2160"/>
          </w:tcPr>
          <w:p>
            <w:r>
              <w:rPr>
                <w:sz w:val="17"/>
              </w:rPr>
            </w:r>
            <w:r>
              <w:rPr>
                <w:b/>
                <w:sz w:val="17"/>
              </w:rPr>
              <w:t>Asset / Replacement-Cost</w:t>
            </w:r>
          </w:p>
        </w:tc>
        <w:tc>
          <w:tcPr>
            <w:tcW w:type="dxa" w:w="2160"/>
          </w:tcPr>
          <w:p>
            <w:r>
              <w:rPr>
                <w:sz w:val="17"/>
              </w:rPr>
            </w:r>
            <w:r>
              <w:rPr>
                <w:sz w:val="17"/>
              </w:rPr>
              <w:t>USD 20M</w:t>
            </w:r>
          </w:p>
        </w:tc>
        <w:tc>
          <w:tcPr>
            <w:tcW w:type="dxa" w:w="2160"/>
          </w:tcPr>
          <w:p>
            <w:r>
              <w:rPr>
                <w:sz w:val="17"/>
              </w:rPr>
            </w:r>
            <w:r>
              <w:rPr>
                <w:sz w:val="17"/>
              </w:rPr>
              <w:t>RUB 1.43 bn</w:t>
            </w:r>
          </w:p>
        </w:tc>
        <w:tc>
          <w:tcPr>
            <w:tcW w:type="dxa" w:w="2160"/>
          </w:tcPr>
          <w:p>
            <w:r>
              <w:rPr>
                <w:sz w:val="17"/>
              </w:rPr>
            </w:r>
            <w:r>
              <w:rPr>
                <w:sz w:val="17"/>
              </w:rPr>
              <w:t>10%</w:t>
            </w:r>
          </w:p>
        </w:tc>
      </w:tr>
      <w:tr>
        <w:tc>
          <w:tcPr>
            <w:tcW w:type="dxa" w:w="2160"/>
          </w:tcPr>
          <w:p>
            <w:r>
              <w:rPr>
                <w:sz w:val="17"/>
              </w:rPr>
            </w:r>
            <w:r>
              <w:rPr>
                <w:b/>
                <w:sz w:val="17"/>
              </w:rPr>
              <w:t>Calculated entry value (stage discount applied once)</w:t>
            </w:r>
          </w:p>
        </w:tc>
        <w:tc>
          <w:tcPr>
            <w:tcW w:type="dxa" w:w="2160"/>
          </w:tcPr>
          <w:p>
            <w:r>
              <w:rPr>
                <w:sz w:val="17"/>
              </w:rPr>
            </w:r>
            <w:r>
              <w:rPr>
                <w:b/>
                <w:sz w:val="17"/>
              </w:rPr>
              <w:t>USD 164–301M</w:t>
            </w:r>
          </w:p>
        </w:tc>
        <w:tc>
          <w:tcPr>
            <w:tcW w:type="dxa" w:w="2160"/>
          </w:tcPr>
          <w:p>
            <w:r>
              <w:rPr>
                <w:sz w:val="17"/>
              </w:rPr>
            </w:r>
            <w:r>
              <w:rPr>
                <w:b/>
                <w:sz w:val="17"/>
              </w:rPr>
              <w:t>RUB 11.74–21.56 bn</w:t>
            </w:r>
          </w:p>
        </w:tc>
        <w:tc>
          <w:tcPr>
            <w:tcW w:type="dxa" w:w="2160"/>
          </w:tcPr>
          <w:p>
            <w:r>
              <w:rPr>
                <w:sz w:val="17"/>
              </w:rPr>
            </w:r>
            <w:r>
              <w:rPr>
                <w:sz w:val="17"/>
              </w:rPr>
              <w:t>—</w:t>
            </w:r>
          </w:p>
        </w:tc>
      </w:tr>
    </w:tbl>
    <w:p/>
    <w:p>
      <w:pPr>
        <w:ind w:left="360"/>
      </w:pPr>
      <w:r>
        <w:rPr>
          <w:b/>
          <w:i/>
          <w:color w:val="444444"/>
        </w:rPr>
        <w:t>Changes versus the previous edition (model recalculated, indicator set v5, 07.09.2026):</w:t>
      </w:r>
      <w:r>
        <w:rPr>
          <w:i/>
          <w:color w:val="444444"/>
        </w:rPr>
        <w:t xml:space="preserve"> - The financial model has been rebuilt; the horizon has been shifted to 2027–2036. - Total revenue is now the sum of its lines; pass-through appraisal and insurance services have been taken out of revenue. - The profit tax rate has been brought to the rate in force — 25% (Federal Law 176-FZ of 12.07.2024). - The 60% stage discount is applied once; in the previous edition it was applied twice, which understated the entry value roughly twofold. - The income approach gives USD 352M (enterprise value RUB 62.97 bn × 0.40, at a rate of 71.55). - The calculated range of entry value across scenarios is USD 164–301M (RUB 11.74–21.56 bn).</w:t>
      </w:r>
    </w:p>
    <w:p>
      <w:pPr>
        <w:jc w:val="both"/>
      </w:pPr>
      <w:r>
        <w:rPr>
          <w:b/>
        </w:rPr>
        <w:t>Calculated position (base scenario):</w:t>
      </w:r>
    </w:p>
    <w:p>
      <w:pPr>
        <w:pStyle w:val="ListBullet"/>
      </w:pPr>
      <w:r>
        <w:t xml:space="preserve">Pre-money — </w:t>
      </w:r>
      <w:r>
        <w:rPr>
          <w:b/>
        </w:rPr>
        <w:t>USD 248M (RUB 17.74 bn)</w:t>
      </w:r>
      <w:r>
        <w:t>.</w:t>
      </w:r>
    </w:p>
    <w:p>
      <w:pPr>
        <w:pStyle w:val="ListBullet"/>
      </w:pPr>
      <w:r>
        <w:t xml:space="preserve">Post-money — </w:t>
      </w:r>
      <w:r>
        <w:rPr>
          <w:b/>
        </w:rPr>
        <w:t>USD 273M (RUB 19.54 bn)</w:t>
      </w:r>
      <w:r>
        <w:t xml:space="preserve"> at a starting round of </w:t>
      </w:r>
      <w:r>
        <w:rPr>
          <w:b/>
        </w:rPr>
        <w:t>USD 25M (RUB 1.8 bn)</w:t>
      </w:r>
      <w:r>
        <w:t>.</w:t>
      </w:r>
    </w:p>
    <w:p>
      <w:pPr>
        <w:pStyle w:val="ListBullet"/>
      </w:pPr>
      <w:r>
        <w:t xml:space="preserve">Investor stake — </w:t>
      </w:r>
      <w:r>
        <w:rPr>
          <w:b/>
        </w:rPr>
        <w:t>9.21%</w:t>
      </w:r>
      <w:r>
        <w:t>.</w:t>
      </w:r>
    </w:p>
    <w:p>
      <w:pPr>
        <w:ind w:left="360"/>
      </w:pPr>
      <w:r>
        <w:rPr>
          <w:i/>
          <w:color w:val="444444"/>
        </w:rPr>
        <w:t>The spread between valuation approaches is twelvefold: the early-stage approaches give USD 20–35M, the income approach USD 352M. The calculated figure is the upper bound of what can be justified, not a market price. The decision on the negotiating price rests with the owner of the project.</w:t>
      </w:r>
    </w:p>
    <w:p>
      <w:pPr>
        <w:pStyle w:val="ListBullet"/>
      </w:pPr>
      <w:r>
        <w:t xml:space="preserve">FX fixed on 24.05.2026: </w:t>
      </w:r>
      <w:r>
        <w:rPr>
          <w:b/>
        </w:rPr>
        <w:t>71.55 RUB/USD</w:t>
      </w:r>
      <w:r>
        <w:t>.</w:t>
      </w:r>
    </w:p>
    <w:p>
      <w:pPr>
        <w:pStyle w:val="Heading2"/>
      </w:pPr>
      <w:r>
        <w:t>2. DCF methodology (income approach)</w:t>
      </w:r>
    </w:p>
    <w:p>
      <w:pPr>
        <w:pStyle w:val="Heading3"/>
      </w:pPr>
      <w:r>
        <w:t>2.1. Cash flow source</w:t>
      </w:r>
    </w:p>
    <w:p>
      <w:pPr>
        <w:jc w:val="both"/>
      </w:pPr>
      <w:r>
        <w:t>Cash flows from the operation of the platform over the 2027–2036 horizon come from the recalculated financial model (</w:t>
      </w:r>
      <w:r>
        <w:rPr>
          <w:rFonts w:ascii="Consolas" w:hAnsi="Consolas"/>
          <w:sz w:val="18"/>
        </w:rPr>
        <w:t>03_Финансовая_модель/Модель</w:t>
      </w:r>
      <w:r>
        <w:t>). The flows are denominated in roubles.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Year</w:t>
            </w:r>
          </w:p>
        </w:tc>
        <w:tc>
          <w:tcPr>
            <w:tcW w:type="dxa" w:w="1234"/>
          </w:tcPr>
          <w:p>
            <w:r>
              <w:rPr>
                <w:b/>
                <w:sz w:val="17"/>
              </w:rPr>
            </w:r>
            <w:r>
              <w:rPr>
                <w:b/>
                <w:sz w:val="17"/>
              </w:rPr>
              <w:t>Revenue, RUB bn</w:t>
            </w:r>
          </w:p>
        </w:tc>
        <w:tc>
          <w:tcPr>
            <w:tcW w:type="dxa" w:w="1234"/>
          </w:tcPr>
          <w:p>
            <w:r>
              <w:rPr>
                <w:b/>
                <w:sz w:val="17"/>
              </w:rPr>
            </w:r>
            <w:r>
              <w:rPr>
                <w:b/>
                <w:sz w:val="17"/>
              </w:rPr>
              <w:t>OpEx, RUB bn</w:t>
            </w:r>
          </w:p>
        </w:tc>
        <w:tc>
          <w:tcPr>
            <w:tcW w:type="dxa" w:w="1234"/>
          </w:tcPr>
          <w:p>
            <w:r>
              <w:rPr>
                <w:b/>
                <w:sz w:val="17"/>
              </w:rPr>
            </w:r>
            <w:r>
              <w:rPr>
                <w:b/>
                <w:sz w:val="17"/>
              </w:rPr>
              <w:t>EBITDA, RUB bn</w:t>
            </w:r>
          </w:p>
        </w:tc>
        <w:tc>
          <w:tcPr>
            <w:tcW w:type="dxa" w:w="1234"/>
          </w:tcPr>
          <w:p>
            <w:r>
              <w:rPr>
                <w:b/>
                <w:sz w:val="17"/>
              </w:rPr>
            </w:r>
            <w:r>
              <w:rPr>
                <w:b/>
                <w:sz w:val="17"/>
              </w:rPr>
              <w:t>EBITDA margin</w:t>
            </w:r>
          </w:p>
        </w:tc>
        <w:tc>
          <w:tcPr>
            <w:tcW w:type="dxa" w:w="1234"/>
          </w:tcPr>
          <w:p>
            <w:r>
              <w:rPr>
                <w:b/>
                <w:sz w:val="17"/>
              </w:rPr>
            </w:r>
            <w:r>
              <w:rPr>
                <w:b/>
                <w:sz w:val="17"/>
              </w:rPr>
              <w:t>CapEx, RUB bn</w:t>
            </w:r>
          </w:p>
        </w:tc>
        <w:tc>
          <w:tcPr>
            <w:tcW w:type="dxa" w:w="1234"/>
          </w:tcPr>
          <w:p>
            <w:r>
              <w:rPr>
                <w:b/>
                <w:sz w:val="17"/>
              </w:rPr>
            </w:r>
            <w:r>
              <w:rPr>
                <w:b/>
                <w:sz w:val="17"/>
              </w:rPr>
              <w:t>FCF, RUB bn</w:t>
            </w:r>
          </w:p>
        </w:tc>
      </w:tr>
      <w:tr>
        <w:tc>
          <w:tcPr>
            <w:tcW w:type="dxa" w:w="1234"/>
          </w:tcPr>
          <w:p>
            <w:r>
              <w:rPr>
                <w:sz w:val="17"/>
              </w:rPr>
            </w:r>
            <w:r>
              <w:rPr>
                <w:sz w:val="17"/>
              </w:rPr>
              <w:t>2027</w:t>
            </w:r>
          </w:p>
        </w:tc>
        <w:tc>
          <w:tcPr>
            <w:tcW w:type="dxa" w:w="1234"/>
          </w:tcPr>
          <w:p>
            <w:r>
              <w:rPr>
                <w:sz w:val="17"/>
              </w:rPr>
            </w:r>
            <w:r>
              <w:rPr>
                <w:sz w:val="17"/>
              </w:rPr>
              <w:t>0.00</w:t>
            </w:r>
          </w:p>
        </w:tc>
        <w:tc>
          <w:tcPr>
            <w:tcW w:type="dxa" w:w="1234"/>
          </w:tcPr>
          <w:p>
            <w:r>
              <w:rPr>
                <w:sz w:val="17"/>
              </w:rPr>
            </w:r>
            <w:r>
              <w:rPr>
                <w:sz w:val="17"/>
              </w:rPr>
              <w:t>0.72</w:t>
            </w:r>
          </w:p>
        </w:tc>
        <w:tc>
          <w:tcPr>
            <w:tcW w:type="dxa" w:w="1234"/>
          </w:tcPr>
          <w:p>
            <w:r>
              <w:rPr>
                <w:sz w:val="17"/>
              </w:rPr>
            </w:r>
            <w:r>
              <w:rPr>
                <w:sz w:val="17"/>
              </w:rPr>
              <w:t>−0.72</w:t>
            </w:r>
          </w:p>
        </w:tc>
        <w:tc>
          <w:tcPr>
            <w:tcW w:type="dxa" w:w="1234"/>
          </w:tcPr>
          <w:p>
            <w:r>
              <w:rPr>
                <w:sz w:val="17"/>
              </w:rPr>
            </w:r>
            <w:r>
              <w:rPr>
                <w:sz w:val="17"/>
              </w:rPr>
              <w:t>—</w:t>
            </w:r>
          </w:p>
        </w:tc>
        <w:tc>
          <w:tcPr>
            <w:tcW w:type="dxa" w:w="1234"/>
          </w:tcPr>
          <w:p>
            <w:r>
              <w:rPr>
                <w:sz w:val="17"/>
              </w:rPr>
            </w:r>
            <w:r>
              <w:rPr>
                <w:sz w:val="17"/>
              </w:rPr>
              <w:t>0.30</w:t>
            </w:r>
          </w:p>
        </w:tc>
        <w:tc>
          <w:tcPr>
            <w:tcW w:type="dxa" w:w="1234"/>
          </w:tcPr>
          <w:p>
            <w:r>
              <w:rPr>
                <w:sz w:val="17"/>
              </w:rPr>
            </w:r>
            <w:r>
              <w:rPr>
                <w:sz w:val="17"/>
              </w:rPr>
              <w:t>−1.02</w:t>
            </w:r>
          </w:p>
        </w:tc>
      </w:tr>
      <w:tr>
        <w:tc>
          <w:tcPr>
            <w:tcW w:type="dxa" w:w="1234"/>
          </w:tcPr>
          <w:p>
            <w:r>
              <w:rPr>
                <w:sz w:val="17"/>
              </w:rPr>
            </w:r>
            <w:r>
              <w:rPr>
                <w:sz w:val="17"/>
              </w:rPr>
              <w:t>2028</w:t>
            </w:r>
          </w:p>
        </w:tc>
        <w:tc>
          <w:tcPr>
            <w:tcW w:type="dxa" w:w="1234"/>
          </w:tcPr>
          <w:p>
            <w:r>
              <w:rPr>
                <w:sz w:val="17"/>
              </w:rPr>
            </w:r>
            <w:r>
              <w:rPr>
                <w:sz w:val="17"/>
              </w:rPr>
              <w:t>1.31</w:t>
            </w:r>
          </w:p>
        </w:tc>
        <w:tc>
          <w:tcPr>
            <w:tcW w:type="dxa" w:w="1234"/>
          </w:tcPr>
          <w:p>
            <w:r>
              <w:rPr>
                <w:sz w:val="17"/>
              </w:rPr>
            </w:r>
            <w:r>
              <w:rPr>
                <w:sz w:val="17"/>
              </w:rPr>
              <w:t>1.50</w:t>
            </w:r>
          </w:p>
        </w:tc>
        <w:tc>
          <w:tcPr>
            <w:tcW w:type="dxa" w:w="1234"/>
          </w:tcPr>
          <w:p>
            <w:r>
              <w:rPr>
                <w:sz w:val="17"/>
              </w:rPr>
            </w:r>
            <w:r>
              <w:rPr>
                <w:sz w:val="17"/>
              </w:rPr>
              <w:t>−0.19</w:t>
            </w:r>
          </w:p>
        </w:tc>
        <w:tc>
          <w:tcPr>
            <w:tcW w:type="dxa" w:w="1234"/>
          </w:tcPr>
          <w:p>
            <w:r>
              <w:rPr>
                <w:sz w:val="17"/>
              </w:rPr>
            </w:r>
            <w:r>
              <w:rPr>
                <w:sz w:val="17"/>
              </w:rPr>
              <w:t>—</w:t>
            </w:r>
          </w:p>
        </w:tc>
        <w:tc>
          <w:tcPr>
            <w:tcW w:type="dxa" w:w="1234"/>
          </w:tcPr>
          <w:p>
            <w:r>
              <w:rPr>
                <w:sz w:val="17"/>
              </w:rPr>
            </w:r>
            <w:r>
              <w:rPr>
                <w:sz w:val="17"/>
              </w:rPr>
              <w:t>0.42</w:t>
            </w:r>
          </w:p>
        </w:tc>
        <w:tc>
          <w:tcPr>
            <w:tcW w:type="dxa" w:w="1234"/>
          </w:tcPr>
          <w:p>
            <w:r>
              <w:rPr>
                <w:sz w:val="17"/>
              </w:rPr>
            </w:r>
            <w:r>
              <w:rPr>
                <w:sz w:val="17"/>
              </w:rPr>
              <w:t>−0.68</w:t>
            </w:r>
          </w:p>
        </w:tc>
      </w:tr>
      <w:tr>
        <w:tc>
          <w:tcPr>
            <w:tcW w:type="dxa" w:w="1234"/>
          </w:tcPr>
          <w:p>
            <w:r>
              <w:rPr>
                <w:sz w:val="17"/>
              </w:rPr>
            </w:r>
            <w:r>
              <w:rPr>
                <w:sz w:val="17"/>
              </w:rPr>
              <w:t>2029</w:t>
            </w:r>
          </w:p>
        </w:tc>
        <w:tc>
          <w:tcPr>
            <w:tcW w:type="dxa" w:w="1234"/>
          </w:tcPr>
          <w:p>
            <w:r>
              <w:rPr>
                <w:sz w:val="17"/>
              </w:rPr>
            </w:r>
            <w:r>
              <w:rPr>
                <w:sz w:val="17"/>
              </w:rPr>
              <w:t>6.52</w:t>
            </w:r>
          </w:p>
        </w:tc>
        <w:tc>
          <w:tcPr>
            <w:tcW w:type="dxa" w:w="1234"/>
          </w:tcPr>
          <w:p>
            <w:r>
              <w:rPr>
                <w:sz w:val="17"/>
              </w:rPr>
            </w:r>
            <w:r>
              <w:rPr>
                <w:sz w:val="17"/>
              </w:rPr>
              <w:t>2.96</w:t>
            </w:r>
          </w:p>
        </w:tc>
        <w:tc>
          <w:tcPr>
            <w:tcW w:type="dxa" w:w="1234"/>
          </w:tcPr>
          <w:p>
            <w:r>
              <w:rPr>
                <w:sz w:val="17"/>
              </w:rPr>
            </w:r>
            <w:r>
              <w:rPr>
                <w:sz w:val="17"/>
              </w:rPr>
              <w:t>3.56</w:t>
            </w:r>
          </w:p>
        </w:tc>
        <w:tc>
          <w:tcPr>
            <w:tcW w:type="dxa" w:w="1234"/>
          </w:tcPr>
          <w:p>
            <w:r>
              <w:rPr>
                <w:sz w:val="17"/>
              </w:rPr>
            </w:r>
            <w:r>
              <w:rPr>
                <w:sz w:val="17"/>
              </w:rPr>
              <w:t>54.6%</w:t>
            </w:r>
          </w:p>
        </w:tc>
        <w:tc>
          <w:tcPr>
            <w:tcW w:type="dxa" w:w="1234"/>
          </w:tcPr>
          <w:p>
            <w:r>
              <w:rPr>
                <w:sz w:val="17"/>
              </w:rPr>
            </w:r>
            <w:r>
              <w:rPr>
                <w:sz w:val="17"/>
              </w:rPr>
              <w:t>0.40</w:t>
            </w:r>
          </w:p>
        </w:tc>
        <w:tc>
          <w:tcPr>
            <w:tcW w:type="dxa" w:w="1234"/>
          </w:tcPr>
          <w:p>
            <w:r>
              <w:rPr>
                <w:sz w:val="17"/>
              </w:rPr>
            </w:r>
            <w:r>
              <w:rPr>
                <w:sz w:val="17"/>
              </w:rPr>
              <w:t>2.31</w:t>
            </w:r>
          </w:p>
        </w:tc>
      </w:tr>
      <w:tr>
        <w:tc>
          <w:tcPr>
            <w:tcW w:type="dxa" w:w="1234"/>
          </w:tcPr>
          <w:p>
            <w:r>
              <w:rPr>
                <w:sz w:val="17"/>
              </w:rPr>
            </w:r>
            <w:r>
              <w:rPr>
                <w:sz w:val="17"/>
              </w:rPr>
              <w:t>2030</w:t>
            </w:r>
          </w:p>
        </w:tc>
        <w:tc>
          <w:tcPr>
            <w:tcW w:type="dxa" w:w="1234"/>
          </w:tcPr>
          <w:p>
            <w:r>
              <w:rPr>
                <w:sz w:val="17"/>
              </w:rPr>
            </w:r>
            <w:r>
              <w:rPr>
                <w:sz w:val="17"/>
              </w:rPr>
              <w:t>17.79</w:t>
            </w:r>
          </w:p>
        </w:tc>
        <w:tc>
          <w:tcPr>
            <w:tcW w:type="dxa" w:w="1234"/>
          </w:tcPr>
          <w:p>
            <w:r>
              <w:rPr>
                <w:sz w:val="17"/>
              </w:rPr>
            </w:r>
            <w:r>
              <w:rPr>
                <w:sz w:val="17"/>
              </w:rPr>
              <w:t>5.78</w:t>
            </w:r>
          </w:p>
        </w:tc>
        <w:tc>
          <w:tcPr>
            <w:tcW w:type="dxa" w:w="1234"/>
          </w:tcPr>
          <w:p>
            <w:r>
              <w:rPr>
                <w:sz w:val="17"/>
              </w:rPr>
            </w:r>
            <w:r>
              <w:rPr>
                <w:sz w:val="17"/>
              </w:rPr>
              <w:t>12.01</w:t>
            </w:r>
          </w:p>
        </w:tc>
        <w:tc>
          <w:tcPr>
            <w:tcW w:type="dxa" w:w="1234"/>
          </w:tcPr>
          <w:p>
            <w:r>
              <w:rPr>
                <w:sz w:val="17"/>
              </w:rPr>
            </w:r>
            <w:r>
              <w:rPr>
                <w:sz w:val="17"/>
              </w:rPr>
              <w:t>67.5%</w:t>
            </w:r>
          </w:p>
        </w:tc>
        <w:tc>
          <w:tcPr>
            <w:tcW w:type="dxa" w:w="1234"/>
          </w:tcPr>
          <w:p>
            <w:r>
              <w:rPr>
                <w:sz w:val="17"/>
              </w:rPr>
            </w:r>
            <w:r>
              <w:rPr>
                <w:sz w:val="17"/>
              </w:rPr>
              <w:t>0.55</w:t>
            </w:r>
          </w:p>
        </w:tc>
        <w:tc>
          <w:tcPr>
            <w:tcW w:type="dxa" w:w="1234"/>
          </w:tcPr>
          <w:p>
            <w:r>
              <w:rPr>
                <w:sz w:val="17"/>
              </w:rPr>
            </w:r>
            <w:r>
              <w:rPr>
                <w:sz w:val="17"/>
              </w:rPr>
              <w:t>7.95</w:t>
            </w:r>
          </w:p>
        </w:tc>
      </w:tr>
      <w:tr>
        <w:tc>
          <w:tcPr>
            <w:tcW w:type="dxa" w:w="1234"/>
          </w:tcPr>
          <w:p>
            <w:r>
              <w:rPr>
                <w:sz w:val="17"/>
              </w:rPr>
            </w:r>
            <w:r>
              <w:rPr>
                <w:sz w:val="17"/>
              </w:rPr>
              <w:t>2031</w:t>
            </w:r>
          </w:p>
        </w:tc>
        <w:tc>
          <w:tcPr>
            <w:tcW w:type="dxa" w:w="1234"/>
          </w:tcPr>
          <w:p>
            <w:r>
              <w:rPr>
                <w:sz w:val="17"/>
              </w:rPr>
            </w:r>
            <w:r>
              <w:rPr>
                <w:sz w:val="17"/>
              </w:rPr>
              <w:t>39.02</w:t>
            </w:r>
          </w:p>
        </w:tc>
        <w:tc>
          <w:tcPr>
            <w:tcW w:type="dxa" w:w="1234"/>
          </w:tcPr>
          <w:p>
            <w:r>
              <w:rPr>
                <w:sz w:val="17"/>
              </w:rPr>
            </w:r>
            <w:r>
              <w:rPr>
                <w:sz w:val="17"/>
              </w:rPr>
              <w:t>10.83</w:t>
            </w:r>
          </w:p>
        </w:tc>
        <w:tc>
          <w:tcPr>
            <w:tcW w:type="dxa" w:w="1234"/>
          </w:tcPr>
          <w:p>
            <w:r>
              <w:rPr>
                <w:sz w:val="17"/>
              </w:rPr>
            </w:r>
            <w:r>
              <w:rPr>
                <w:sz w:val="17"/>
              </w:rPr>
              <w:t>28.19</w:t>
            </w:r>
          </w:p>
        </w:tc>
        <w:tc>
          <w:tcPr>
            <w:tcW w:type="dxa" w:w="1234"/>
          </w:tcPr>
          <w:p>
            <w:r>
              <w:rPr>
                <w:sz w:val="17"/>
              </w:rPr>
            </w:r>
            <w:r>
              <w:rPr>
                <w:sz w:val="17"/>
              </w:rPr>
              <w:t>72.3%</w:t>
            </w:r>
          </w:p>
        </w:tc>
        <w:tc>
          <w:tcPr>
            <w:tcW w:type="dxa" w:w="1234"/>
          </w:tcPr>
          <w:p>
            <w:r>
              <w:rPr>
                <w:sz w:val="17"/>
              </w:rPr>
            </w:r>
            <w:r>
              <w:rPr>
                <w:sz w:val="17"/>
              </w:rPr>
              <w:t>1.80</w:t>
            </w:r>
          </w:p>
        </w:tc>
        <w:tc>
          <w:tcPr>
            <w:tcW w:type="dxa" w:w="1234"/>
          </w:tcPr>
          <w:p>
            <w:r>
              <w:rPr>
                <w:sz w:val="17"/>
              </w:rPr>
            </w:r>
            <w:r>
              <w:rPr>
                <w:sz w:val="17"/>
              </w:rPr>
              <w:t>18.41</w:t>
            </w:r>
          </w:p>
        </w:tc>
      </w:tr>
      <w:tr>
        <w:tc>
          <w:tcPr>
            <w:tcW w:type="dxa" w:w="1234"/>
          </w:tcPr>
          <w:p>
            <w:r>
              <w:rPr>
                <w:sz w:val="17"/>
              </w:rPr>
            </w:r>
            <w:r>
              <w:rPr>
                <w:sz w:val="17"/>
              </w:rPr>
              <w:t>2032</w:t>
            </w:r>
          </w:p>
        </w:tc>
        <w:tc>
          <w:tcPr>
            <w:tcW w:type="dxa" w:w="1234"/>
          </w:tcPr>
          <w:p>
            <w:r>
              <w:rPr>
                <w:sz w:val="17"/>
              </w:rPr>
            </w:r>
            <w:r>
              <w:rPr>
                <w:sz w:val="17"/>
              </w:rPr>
              <w:t>56.86</w:t>
            </w:r>
          </w:p>
        </w:tc>
        <w:tc>
          <w:tcPr>
            <w:tcW w:type="dxa" w:w="1234"/>
          </w:tcPr>
          <w:p>
            <w:r>
              <w:rPr>
                <w:sz w:val="17"/>
              </w:rPr>
            </w:r>
            <w:r>
              <w:rPr>
                <w:sz w:val="17"/>
              </w:rPr>
              <w:t>15.09</w:t>
            </w:r>
          </w:p>
        </w:tc>
        <w:tc>
          <w:tcPr>
            <w:tcW w:type="dxa" w:w="1234"/>
          </w:tcPr>
          <w:p>
            <w:r>
              <w:rPr>
                <w:sz w:val="17"/>
              </w:rPr>
            </w:r>
            <w:r>
              <w:rPr>
                <w:sz w:val="17"/>
              </w:rPr>
              <w:t>41.77</w:t>
            </w:r>
          </w:p>
        </w:tc>
        <w:tc>
          <w:tcPr>
            <w:tcW w:type="dxa" w:w="1234"/>
          </w:tcPr>
          <w:p>
            <w:r>
              <w:rPr>
                <w:sz w:val="17"/>
              </w:rPr>
            </w:r>
            <w:r>
              <w:rPr>
                <w:sz w:val="17"/>
              </w:rPr>
              <w:t>73.5%</w:t>
            </w:r>
          </w:p>
        </w:tc>
        <w:tc>
          <w:tcPr>
            <w:tcW w:type="dxa" w:w="1234"/>
          </w:tcPr>
          <w:p>
            <w:r>
              <w:rPr>
                <w:sz w:val="17"/>
              </w:rPr>
            </w:r>
            <w:r>
              <w:rPr>
                <w:sz w:val="17"/>
              </w:rPr>
              <w:t>2.40</w:t>
            </w:r>
          </w:p>
        </w:tc>
        <w:tc>
          <w:tcPr>
            <w:tcW w:type="dxa" w:w="1234"/>
          </w:tcPr>
          <w:p>
            <w:r>
              <w:rPr>
                <w:sz w:val="17"/>
              </w:rPr>
            </w:r>
            <w:r>
              <w:rPr>
                <w:sz w:val="17"/>
              </w:rPr>
              <w:t>28.24</w:t>
            </w:r>
          </w:p>
        </w:tc>
      </w:tr>
      <w:tr>
        <w:tc>
          <w:tcPr>
            <w:tcW w:type="dxa" w:w="1234"/>
          </w:tcPr>
          <w:p>
            <w:r>
              <w:rPr>
                <w:sz w:val="17"/>
              </w:rPr>
            </w:r>
            <w:r>
              <w:rPr>
                <w:sz w:val="17"/>
              </w:rPr>
              <w:t>2033</w:t>
            </w:r>
          </w:p>
        </w:tc>
        <w:tc>
          <w:tcPr>
            <w:tcW w:type="dxa" w:w="1234"/>
          </w:tcPr>
          <w:p>
            <w:r>
              <w:rPr>
                <w:sz w:val="17"/>
              </w:rPr>
            </w:r>
            <w:r>
              <w:rPr>
                <w:sz w:val="17"/>
              </w:rPr>
              <w:t>76.69</w:t>
            </w:r>
          </w:p>
        </w:tc>
        <w:tc>
          <w:tcPr>
            <w:tcW w:type="dxa" w:w="1234"/>
          </w:tcPr>
          <w:p>
            <w:r>
              <w:rPr>
                <w:sz w:val="17"/>
              </w:rPr>
            </w:r>
            <w:r>
              <w:rPr>
                <w:sz w:val="17"/>
              </w:rPr>
              <w:t>19.83</w:t>
            </w:r>
          </w:p>
        </w:tc>
        <w:tc>
          <w:tcPr>
            <w:tcW w:type="dxa" w:w="1234"/>
          </w:tcPr>
          <w:p>
            <w:r>
              <w:rPr>
                <w:sz w:val="17"/>
              </w:rPr>
            </w:r>
            <w:r>
              <w:rPr>
                <w:sz w:val="17"/>
              </w:rPr>
              <w:t>56.86</w:t>
            </w:r>
          </w:p>
        </w:tc>
        <w:tc>
          <w:tcPr>
            <w:tcW w:type="dxa" w:w="1234"/>
          </w:tcPr>
          <w:p>
            <w:r>
              <w:rPr>
                <w:sz w:val="17"/>
              </w:rPr>
            </w:r>
            <w:r>
              <w:rPr>
                <w:sz w:val="17"/>
              </w:rPr>
              <w:t>74.1%</w:t>
            </w:r>
          </w:p>
        </w:tc>
        <w:tc>
          <w:tcPr>
            <w:tcW w:type="dxa" w:w="1234"/>
          </w:tcPr>
          <w:p>
            <w:r>
              <w:rPr>
                <w:sz w:val="17"/>
              </w:rPr>
            </w:r>
            <w:r>
              <w:rPr>
                <w:sz w:val="17"/>
              </w:rPr>
              <w:t>1.60</w:t>
            </w:r>
          </w:p>
        </w:tc>
        <w:tc>
          <w:tcPr>
            <w:tcW w:type="dxa" w:w="1234"/>
          </w:tcPr>
          <w:p>
            <w:r>
              <w:rPr>
                <w:sz w:val="17"/>
              </w:rPr>
            </w:r>
            <w:r>
              <w:rPr>
                <w:sz w:val="17"/>
              </w:rPr>
              <w:t>40.32</w:t>
            </w:r>
          </w:p>
        </w:tc>
      </w:tr>
      <w:tr>
        <w:tc>
          <w:tcPr>
            <w:tcW w:type="dxa" w:w="1234"/>
          </w:tcPr>
          <w:p>
            <w:r>
              <w:rPr>
                <w:sz w:val="17"/>
              </w:rPr>
            </w:r>
            <w:r>
              <w:rPr>
                <w:sz w:val="17"/>
              </w:rPr>
              <w:t>2034</w:t>
            </w:r>
          </w:p>
        </w:tc>
        <w:tc>
          <w:tcPr>
            <w:tcW w:type="dxa" w:w="1234"/>
          </w:tcPr>
          <w:p>
            <w:r>
              <w:rPr>
                <w:sz w:val="17"/>
              </w:rPr>
            </w:r>
            <w:r>
              <w:rPr>
                <w:sz w:val="17"/>
              </w:rPr>
              <w:t>98.35</w:t>
            </w:r>
          </w:p>
        </w:tc>
        <w:tc>
          <w:tcPr>
            <w:tcW w:type="dxa" w:w="1234"/>
          </w:tcPr>
          <w:p>
            <w:r>
              <w:rPr>
                <w:sz w:val="17"/>
              </w:rPr>
            </w:r>
            <w:r>
              <w:rPr>
                <w:sz w:val="17"/>
              </w:rPr>
              <w:t>25.01</w:t>
            </w:r>
          </w:p>
        </w:tc>
        <w:tc>
          <w:tcPr>
            <w:tcW w:type="dxa" w:w="1234"/>
          </w:tcPr>
          <w:p>
            <w:r>
              <w:rPr>
                <w:sz w:val="17"/>
              </w:rPr>
            </w:r>
            <w:r>
              <w:rPr>
                <w:sz w:val="17"/>
              </w:rPr>
              <w:t>73.34</w:t>
            </w:r>
          </w:p>
        </w:tc>
        <w:tc>
          <w:tcPr>
            <w:tcW w:type="dxa" w:w="1234"/>
          </w:tcPr>
          <w:p>
            <w:r>
              <w:rPr>
                <w:sz w:val="17"/>
              </w:rPr>
            </w:r>
            <w:r>
              <w:rPr>
                <w:sz w:val="17"/>
              </w:rPr>
              <w:t>74.6%</w:t>
            </w:r>
          </w:p>
        </w:tc>
        <w:tc>
          <w:tcPr>
            <w:tcW w:type="dxa" w:w="1234"/>
          </w:tcPr>
          <w:p>
            <w:r>
              <w:rPr>
                <w:sz w:val="17"/>
              </w:rPr>
            </w:r>
            <w:r>
              <w:rPr>
                <w:sz w:val="17"/>
              </w:rPr>
              <w:t>1.80</w:t>
            </w:r>
          </w:p>
        </w:tc>
        <w:tc>
          <w:tcPr>
            <w:tcW w:type="dxa" w:w="1234"/>
          </w:tcPr>
          <w:p>
            <w:r>
              <w:rPr>
                <w:sz w:val="17"/>
              </w:rPr>
            </w:r>
            <w:r>
              <w:rPr>
                <w:sz w:val="17"/>
              </w:rPr>
              <w:t>52.44</w:t>
            </w:r>
          </w:p>
        </w:tc>
      </w:tr>
      <w:tr>
        <w:tc>
          <w:tcPr>
            <w:tcW w:type="dxa" w:w="1234"/>
          </w:tcPr>
          <w:p>
            <w:r>
              <w:rPr>
                <w:sz w:val="17"/>
              </w:rPr>
            </w:r>
            <w:r>
              <w:rPr>
                <w:sz w:val="17"/>
              </w:rPr>
              <w:t>2035</w:t>
            </w:r>
          </w:p>
        </w:tc>
        <w:tc>
          <w:tcPr>
            <w:tcW w:type="dxa" w:w="1234"/>
          </w:tcPr>
          <w:p>
            <w:r>
              <w:rPr>
                <w:sz w:val="17"/>
              </w:rPr>
            </w:r>
            <w:r>
              <w:rPr>
                <w:sz w:val="17"/>
              </w:rPr>
              <w:t>120.87</w:t>
            </w:r>
          </w:p>
        </w:tc>
        <w:tc>
          <w:tcPr>
            <w:tcW w:type="dxa" w:w="1234"/>
          </w:tcPr>
          <w:p>
            <w:r>
              <w:rPr>
                <w:sz w:val="17"/>
              </w:rPr>
            </w:r>
            <w:r>
              <w:rPr>
                <w:sz w:val="17"/>
              </w:rPr>
              <w:t>30.33</w:t>
            </w:r>
          </w:p>
        </w:tc>
        <w:tc>
          <w:tcPr>
            <w:tcW w:type="dxa" w:w="1234"/>
          </w:tcPr>
          <w:p>
            <w:r>
              <w:rPr>
                <w:sz w:val="17"/>
              </w:rPr>
            </w:r>
            <w:r>
              <w:rPr>
                <w:sz w:val="17"/>
              </w:rPr>
              <w:t>90.55</w:t>
            </w:r>
          </w:p>
        </w:tc>
        <w:tc>
          <w:tcPr>
            <w:tcW w:type="dxa" w:w="1234"/>
          </w:tcPr>
          <w:p>
            <w:r>
              <w:rPr>
                <w:sz w:val="17"/>
              </w:rPr>
            </w:r>
            <w:r>
              <w:rPr>
                <w:sz w:val="17"/>
              </w:rPr>
              <w:t>74.9%</w:t>
            </w:r>
          </w:p>
        </w:tc>
        <w:tc>
          <w:tcPr>
            <w:tcW w:type="dxa" w:w="1234"/>
          </w:tcPr>
          <w:p>
            <w:r>
              <w:rPr>
                <w:sz w:val="17"/>
              </w:rPr>
            </w:r>
            <w:r>
              <w:rPr>
                <w:sz w:val="17"/>
              </w:rPr>
              <w:t>2.30</w:t>
            </w:r>
          </w:p>
        </w:tc>
        <w:tc>
          <w:tcPr>
            <w:tcW w:type="dxa" w:w="1234"/>
          </w:tcPr>
          <w:p>
            <w:r>
              <w:rPr>
                <w:sz w:val="17"/>
              </w:rPr>
            </w:r>
            <w:r>
              <w:rPr>
                <w:sz w:val="17"/>
              </w:rPr>
              <w:t>64.87</w:t>
            </w:r>
          </w:p>
        </w:tc>
      </w:tr>
      <w:tr>
        <w:tc>
          <w:tcPr>
            <w:tcW w:type="dxa" w:w="1234"/>
          </w:tcPr>
          <w:p>
            <w:r>
              <w:rPr>
                <w:sz w:val="17"/>
              </w:rPr>
            </w:r>
            <w:r>
              <w:rPr>
                <w:sz w:val="17"/>
              </w:rPr>
              <w:t>2036</w:t>
            </w:r>
          </w:p>
        </w:tc>
        <w:tc>
          <w:tcPr>
            <w:tcW w:type="dxa" w:w="1234"/>
          </w:tcPr>
          <w:p>
            <w:r>
              <w:rPr>
                <w:sz w:val="17"/>
              </w:rPr>
            </w:r>
            <w:r>
              <w:rPr>
                <w:sz w:val="17"/>
              </w:rPr>
              <w:t>142.61</w:t>
            </w:r>
          </w:p>
        </w:tc>
        <w:tc>
          <w:tcPr>
            <w:tcW w:type="dxa" w:w="1234"/>
          </w:tcPr>
          <w:p>
            <w:r>
              <w:rPr>
                <w:sz w:val="17"/>
              </w:rPr>
            </w:r>
            <w:r>
              <w:rPr>
                <w:sz w:val="17"/>
              </w:rPr>
              <w:t>35.50</w:t>
            </w:r>
          </w:p>
        </w:tc>
        <w:tc>
          <w:tcPr>
            <w:tcW w:type="dxa" w:w="1234"/>
          </w:tcPr>
          <w:p>
            <w:r>
              <w:rPr>
                <w:sz w:val="17"/>
              </w:rPr>
            </w:r>
            <w:r>
              <w:rPr>
                <w:sz w:val="17"/>
              </w:rPr>
              <w:t>107.11</w:t>
            </w:r>
          </w:p>
        </w:tc>
        <w:tc>
          <w:tcPr>
            <w:tcW w:type="dxa" w:w="1234"/>
          </w:tcPr>
          <w:p>
            <w:r>
              <w:rPr>
                <w:sz w:val="17"/>
              </w:rPr>
            </w:r>
            <w:r>
              <w:rPr>
                <w:sz w:val="17"/>
              </w:rPr>
              <w:t>75.1%</w:t>
            </w:r>
          </w:p>
        </w:tc>
        <w:tc>
          <w:tcPr>
            <w:tcW w:type="dxa" w:w="1234"/>
          </w:tcPr>
          <w:p>
            <w:r>
              <w:rPr>
                <w:sz w:val="17"/>
              </w:rPr>
            </w:r>
            <w:r>
              <w:rPr>
                <w:sz w:val="17"/>
              </w:rPr>
              <w:t>2.00</w:t>
            </w:r>
          </w:p>
        </w:tc>
        <w:tc>
          <w:tcPr>
            <w:tcW w:type="dxa" w:w="1234"/>
          </w:tcPr>
          <w:p>
            <w:r>
              <w:rPr>
                <w:sz w:val="17"/>
              </w:rPr>
            </w:r>
            <w:r>
              <w:rPr>
                <w:sz w:val="17"/>
              </w:rPr>
              <w:t>77.69</w:t>
            </w:r>
          </w:p>
        </w:tc>
      </w:tr>
      <w:tr>
        <w:tc>
          <w:tcPr>
            <w:tcW w:type="dxa" w:w="1234"/>
          </w:tcPr>
          <w:p>
            <w:r>
              <w:rPr>
                <w:sz w:val="17"/>
              </w:rPr>
            </w:r>
            <w:r>
              <w:rPr>
                <w:b/>
                <w:sz w:val="17"/>
              </w:rPr>
              <w:t>Sum of cash flow 2027–2036</w:t>
            </w:r>
          </w:p>
        </w:tc>
        <w:tc>
          <w:tcPr>
            <w:tcW w:type="dxa" w:w="1234"/>
          </w:tcPr>
          <w:p>
            <w:r>
              <w:rPr>
                <w:sz w:val="17"/>
              </w:rPr>
            </w:r>
          </w:p>
        </w:tc>
        <w:tc>
          <w:tcPr>
            <w:tcW w:type="dxa" w:w="1234"/>
          </w:tcPr>
          <w:p>
            <w:r>
              <w:rPr>
                <w:sz w:val="17"/>
              </w:rPr>
            </w:r>
          </w:p>
        </w:tc>
        <w:tc>
          <w:tcPr>
            <w:tcW w:type="dxa" w:w="1234"/>
          </w:tcPr>
          <w:p>
            <w:r>
              <w:rPr>
                <w:sz w:val="17"/>
              </w:rPr>
            </w:r>
          </w:p>
        </w:tc>
        <w:tc>
          <w:tcPr>
            <w:tcW w:type="dxa" w:w="1234"/>
          </w:tcPr>
          <w:p>
            <w:r>
              <w:rPr>
                <w:sz w:val="17"/>
              </w:rPr>
            </w:r>
          </w:p>
        </w:tc>
        <w:tc>
          <w:tcPr>
            <w:tcW w:type="dxa" w:w="1234"/>
          </w:tcPr>
          <w:p>
            <w:r>
              <w:rPr>
                <w:sz w:val="17"/>
              </w:rPr>
            </w:r>
          </w:p>
        </w:tc>
        <w:tc>
          <w:tcPr>
            <w:tcW w:type="dxa" w:w="1234"/>
          </w:tcPr>
          <w:p>
            <w:r>
              <w:rPr>
                <w:sz w:val="17"/>
              </w:rPr>
            </w:r>
            <w:r>
              <w:rPr>
                <w:b/>
                <w:sz w:val="17"/>
              </w:rPr>
              <w:t>290.54</w:t>
            </w:r>
          </w:p>
        </w:tc>
      </w:tr>
    </w:tbl>
    <w:p/>
    <w:p>
      <w:pPr>
        <w:jc w:val="both"/>
      </w:pPr>
      <w:r>
        <w:rPr>
          <w:b/>
        </w:rPr>
        <w:t>Changes in the OpEx curve (relative to the pre-refactor model):</w:t>
      </w:r>
    </w:p>
    <w:p>
      <w:pPr>
        <w:pStyle w:val="ListBullet"/>
      </w:pPr>
      <w:r>
        <w:t>+30% on the compliance block (growth of 779-P, AML/KYC requirements).</w:t>
      </w:r>
    </w:p>
    <w:p>
      <w:pPr>
        <w:pStyle w:val="ListBullet"/>
      </w:pPr>
      <w:r>
        <w:t>+25% on cyber-security (CII-1, 24/7 SOC, penetration tests, key rotation).</w:t>
      </w:r>
    </w:p>
    <w:p>
      <w:pPr>
        <w:pStyle w:val="ListBullet"/>
      </w:pPr>
      <w:r>
        <w:t>+40% on the legal block (contract pack, regulatory support, IP).</w:t>
      </w:r>
    </w:p>
    <w:p>
      <w:pPr>
        <w:pStyle w:val="ListBullet"/>
      </w:pPr>
      <w:r>
        <w:t>An "appraisers and insurers" block introduced — 0.8% of DFA issuance volume.</w:t>
      </w:r>
    </w:p>
    <w:p>
      <w:pPr>
        <w:jc w:val="both"/>
      </w:pPr>
      <w:r>
        <w:t xml:space="preserve">The EBITDA margin in the mature phase converges to </w:t>
      </w:r>
      <w:r>
        <w:rPr>
          <w:b/>
        </w:rPr>
        <w:t>74.8%</w:t>
      </w:r>
      <w:r>
        <w:t xml:space="preserve"> (post-refactor, replacing the previously unrealistic 96.9%) — within the band of tier-1 fintech operators (Visa 67%, Moscow Exchange 75%, depositories 50–65%).</w:t>
      </w:r>
    </w:p>
    <w:p>
      <w:pPr>
        <w:pStyle w:val="Heading3"/>
      </w:pPr>
      <w:r>
        <w:t>2.2. Discount rate (WACC)</w:t>
      </w:r>
    </w:p>
    <w:p>
      <w:pPr>
        <w:jc w:val="both"/>
      </w:pPr>
      <w:r>
        <w:rPr>
          <w:b/>
        </w:rPr>
        <w:t>Audit adjustment:</w:t>
      </w:r>
      <w:r>
        <w:t xml:space="preserve"> double-counting removed (no CRP needed in RUB-denominated RF); ERP raised from 6% to 9% (Damodaran May 2026); β set at 1.15 (Damodaran fintech).</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Component</w:t>
            </w:r>
          </w:p>
        </w:tc>
        <w:tc>
          <w:tcPr>
            <w:tcW w:type="dxa" w:w="4320"/>
          </w:tcPr>
          <w:p>
            <w:r>
              <w:rPr>
                <w:b/>
                <w:sz w:val="17"/>
              </w:rPr>
            </w:r>
            <w:r>
              <w:rPr>
                <w:b/>
                <w:sz w:val="17"/>
              </w:rPr>
              <w:t>Value</w:t>
            </w:r>
          </w:p>
        </w:tc>
      </w:tr>
      <w:tr>
        <w:tc>
          <w:tcPr>
            <w:tcW w:type="dxa" w:w="4320"/>
          </w:tcPr>
          <w:p>
            <w:r>
              <w:rPr>
                <w:sz w:val="17"/>
              </w:rPr>
            </w:r>
            <w:r>
              <w:rPr>
                <w:sz w:val="17"/>
              </w:rPr>
              <w:t>Risk-free rate (10Y OFZ, RUB, 24.05.2026)</w:t>
            </w:r>
          </w:p>
        </w:tc>
        <w:tc>
          <w:tcPr>
            <w:tcW w:type="dxa" w:w="4320"/>
          </w:tcPr>
          <w:p>
            <w:r>
              <w:rPr>
                <w:sz w:val="17"/>
              </w:rPr>
            </w:r>
            <w:r>
              <w:rPr>
                <w:sz w:val="17"/>
              </w:rPr>
              <w:t>14.73%</w:t>
            </w:r>
          </w:p>
        </w:tc>
      </w:tr>
      <w:tr>
        <w:tc>
          <w:tcPr>
            <w:tcW w:type="dxa" w:w="4320"/>
          </w:tcPr>
          <w:p>
            <w:r>
              <w:rPr>
                <w:sz w:val="17"/>
              </w:rPr>
            </w:r>
            <w:r>
              <w:rPr>
                <w:sz w:val="17"/>
              </w:rPr>
              <w:t>ERP × β (RF May 2026, β 1.15)</w:t>
            </w:r>
          </w:p>
        </w:tc>
        <w:tc>
          <w:tcPr>
            <w:tcW w:type="dxa" w:w="4320"/>
          </w:tcPr>
          <w:p>
            <w:r>
              <w:rPr>
                <w:sz w:val="17"/>
              </w:rPr>
            </w:r>
            <w:r>
              <w:rPr>
                <w:sz w:val="17"/>
              </w:rPr>
              <w:t>8.13% × 1.15 = 9.35%</w:t>
            </w:r>
          </w:p>
        </w:tc>
      </w:tr>
      <w:tr>
        <w:tc>
          <w:tcPr>
            <w:tcW w:type="dxa" w:w="4320"/>
          </w:tcPr>
          <w:p>
            <w:r>
              <w:rPr>
                <w:sz w:val="17"/>
              </w:rPr>
            </w:r>
            <w:r>
              <w:rPr>
                <w:sz w:val="17"/>
              </w:rPr>
              <w:t>Stage premium (MVP ready)</w:t>
            </w:r>
          </w:p>
        </w:tc>
        <w:tc>
          <w:tcPr>
            <w:tcW w:type="dxa" w:w="4320"/>
          </w:tcPr>
          <w:p>
            <w:r>
              <w:rPr>
                <w:sz w:val="17"/>
              </w:rPr>
            </w:r>
            <w:r>
              <w:rPr>
                <w:sz w:val="17"/>
              </w:rPr>
              <w:t>2.5%</w:t>
            </w:r>
          </w:p>
        </w:tc>
      </w:tr>
      <w:tr>
        <w:tc>
          <w:tcPr>
            <w:tcW w:type="dxa" w:w="4320"/>
          </w:tcPr>
          <w:p>
            <w:r>
              <w:rPr>
                <w:sz w:val="17"/>
              </w:rPr>
            </w:r>
            <w:r>
              <w:rPr>
                <w:sz w:val="17"/>
              </w:rPr>
              <w:t>Liquidity premium</w:t>
            </w:r>
          </w:p>
        </w:tc>
        <w:tc>
          <w:tcPr>
            <w:tcW w:type="dxa" w:w="4320"/>
          </w:tcPr>
          <w:p>
            <w:r>
              <w:rPr>
                <w:sz w:val="17"/>
              </w:rPr>
            </w:r>
            <w:r>
              <w:rPr>
                <w:sz w:val="17"/>
              </w:rPr>
              <w:t>3.0%</w:t>
            </w:r>
          </w:p>
        </w:tc>
      </w:tr>
      <w:tr>
        <w:tc>
          <w:tcPr>
            <w:tcW w:type="dxa" w:w="4320"/>
          </w:tcPr>
          <w:p>
            <w:r>
              <w:rPr>
                <w:sz w:val="17"/>
              </w:rPr>
            </w:r>
            <w:r>
              <w:rPr>
                <w:b/>
                <w:sz w:val="17"/>
              </w:rPr>
              <w:t>WACC (RUB) — total</w:t>
            </w:r>
          </w:p>
        </w:tc>
        <w:tc>
          <w:tcPr>
            <w:tcW w:type="dxa" w:w="4320"/>
          </w:tcPr>
          <w:p>
            <w:r>
              <w:rPr>
                <w:sz w:val="17"/>
              </w:rPr>
            </w:r>
            <w:r>
              <w:rPr>
                <w:b/>
                <w:sz w:val="17"/>
              </w:rPr>
              <w:t>29.58% → 30%</w:t>
            </w:r>
          </w:p>
        </w:tc>
      </w:tr>
    </w:tbl>
    <w:p/>
    <w:p>
      <w:pPr>
        <w:jc w:val="both"/>
      </w:pPr>
      <w:r>
        <w:t>An alternative WACC by global comparables (USD-denominated): 16.75%. The DCF uses the RUB WACC of 29.5%.</w:t>
      </w:r>
    </w:p>
    <w:p>
      <w:pPr>
        <w:pStyle w:val="Heading3"/>
      </w:pPr>
      <w:r>
        <w:t>2.3. Terminal value</w:t>
      </w:r>
    </w:p>
    <w:p>
      <w:pPr>
        <w:jc w:val="both"/>
      </w:pPr>
      <w:r>
        <w:t>A single method — the Gordon model on a normalised cash flow (capital expenditure set equal to depreciation, the increase in working capital equal to g × working capital).</w:t>
      </w:r>
    </w:p>
    <w:p>
      <w:pPr>
        <w:pStyle w:val="ListBullet"/>
      </w:pPr>
      <w:r>
        <w:t xml:space="preserve">Normalised cash flow — </w:t>
      </w:r>
      <w:r>
        <w:rPr>
          <w:b/>
        </w:rPr>
        <w:t>RUB 78.71 bn</w:t>
      </w:r>
      <w:r>
        <w:t>; long-term growth rate g = 4% (nominal, equal to the inflation target).</w:t>
      </w:r>
    </w:p>
    <w:p>
      <w:pPr>
        <w:pStyle w:val="ListBullet"/>
      </w:pPr>
      <w:r>
        <w:t xml:space="preserve">Terminal value at the end of 2036 = 78.71 × 1.04 / (0.2958 − 0.04) ≈ </w:t>
      </w:r>
      <w:r>
        <w:rPr>
          <w:b/>
        </w:rPr>
        <w:t>RUB 320.0 bn</w:t>
      </w:r>
      <w:r>
        <w:t>.</w:t>
      </w:r>
    </w:p>
    <w:p>
      <w:pPr>
        <w:pStyle w:val="ListBullet"/>
      </w:pPr>
      <w:r>
        <w:t xml:space="preserve">Discounted to the valuation date (× 0.0749) — </w:t>
      </w:r>
      <w:r>
        <w:rPr>
          <w:b/>
        </w:rPr>
        <w:t>RUB 23.98 bn</w:t>
      </w:r>
      <w:r>
        <w:t xml:space="preserve">; share in enterprise value </w:t>
      </w:r>
      <w:r>
        <w:rPr>
          <w:b/>
        </w:rPr>
        <w:t>38%</w:t>
      </w:r>
      <w:r>
        <w:t>.</w:t>
      </w:r>
    </w:p>
    <w:p>
      <w:pPr>
        <w:ind w:left="360"/>
      </w:pPr>
      <w:r>
        <w:rPr>
          <w:i/>
          <w:color w:val="444444"/>
        </w:rPr>
        <w:t>Earlier editions used three incompatible approaches to terminal value at the same time (Gordon with g=2%, a three-stage model, and g=4% in the business plan). One has been retained.</w:t>
      </w:r>
    </w:p>
    <w:p>
      <w:pPr>
        <w:pStyle w:val="Heading3"/>
      </w:pPr>
      <w:r>
        <w:t>2.4. DCF result (synchronised with Financial Model SoT v4)</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Component</w:t>
            </w:r>
          </w:p>
        </w:tc>
        <w:tc>
          <w:tcPr>
            <w:tcW w:type="dxa" w:w="4320"/>
          </w:tcPr>
          <w:p>
            <w:r>
              <w:rPr>
                <w:b/>
                <w:sz w:val="17"/>
              </w:rPr>
            </w:r>
            <w:r>
              <w:rPr>
                <w:b/>
                <w:sz w:val="17"/>
              </w:rPr>
              <w:t>RUB bn</w:t>
            </w:r>
          </w:p>
        </w:tc>
      </w:tr>
      <w:tr>
        <w:tc>
          <w:tcPr>
            <w:tcW w:type="dxa" w:w="4320"/>
          </w:tcPr>
          <w:p>
            <w:r>
              <w:rPr>
                <w:sz w:val="17"/>
              </w:rPr>
            </w:r>
            <w:r>
              <w:rPr>
                <w:sz w:val="17"/>
              </w:rPr>
              <w:t>Sum of discounted cash flows 2027–2036 (rate 29.58%)</w:t>
            </w:r>
          </w:p>
        </w:tc>
        <w:tc>
          <w:tcPr>
            <w:tcW w:type="dxa" w:w="4320"/>
          </w:tcPr>
          <w:p>
            <w:r>
              <w:rPr>
                <w:sz w:val="17"/>
              </w:rPr>
            </w:r>
            <w:r>
              <w:rPr>
                <w:sz w:val="17"/>
              </w:rPr>
              <w:t>38.99</w:t>
            </w:r>
          </w:p>
        </w:tc>
      </w:tr>
      <w:tr>
        <w:tc>
          <w:tcPr>
            <w:tcW w:type="dxa" w:w="4320"/>
          </w:tcPr>
          <w:p>
            <w:r>
              <w:rPr>
                <w:sz w:val="17"/>
              </w:rPr>
            </w:r>
            <w:r>
              <w:rPr>
                <w:sz w:val="17"/>
              </w:rPr>
              <w:t>Discounted terminal value (Gordon, g = 4%)</w:t>
            </w:r>
          </w:p>
        </w:tc>
        <w:tc>
          <w:tcPr>
            <w:tcW w:type="dxa" w:w="4320"/>
          </w:tcPr>
          <w:p>
            <w:r>
              <w:rPr>
                <w:sz w:val="17"/>
              </w:rPr>
            </w:r>
            <w:r>
              <w:rPr>
                <w:sz w:val="17"/>
              </w:rPr>
              <w:t>23.98</w:t>
            </w:r>
          </w:p>
        </w:tc>
      </w:tr>
      <w:tr>
        <w:tc>
          <w:tcPr>
            <w:tcW w:type="dxa" w:w="4320"/>
          </w:tcPr>
          <w:p>
            <w:r>
              <w:rPr>
                <w:sz w:val="17"/>
              </w:rPr>
            </w:r>
            <w:r>
              <w:rPr>
                <w:b/>
                <w:sz w:val="17"/>
              </w:rPr>
              <w:t>Enterprise value on the income approach</w:t>
            </w:r>
          </w:p>
        </w:tc>
        <w:tc>
          <w:tcPr>
            <w:tcW w:type="dxa" w:w="4320"/>
          </w:tcPr>
          <w:p>
            <w:r>
              <w:rPr>
                <w:sz w:val="17"/>
              </w:rPr>
            </w:r>
            <w:r>
              <w:rPr>
                <w:b/>
                <w:sz w:val="17"/>
              </w:rPr>
              <w:t>62.97</w:t>
            </w:r>
          </w:p>
        </w:tc>
      </w:tr>
    </w:tbl>
    <w:p/>
    <w:p>
      <w:pPr>
        <w:ind w:left="360"/>
      </w:pPr>
      <w:r>
        <w:rPr>
          <w:i/>
          <w:color w:val="444444"/>
        </w:rPr>
        <w:t>The cash-flow series is derived from the profit and loss account and verified programmatically. In the previous edition it was not: it ignored working capital and contained unexplained residuals.</w:t>
      </w:r>
    </w:p>
    <w:p>
      <w:pPr>
        <w:pStyle w:val="Heading3"/>
      </w:pPr>
      <w:r>
        <w:t>2.5. Pre-money DCF (SoT v4)</w:t>
      </w:r>
    </w:p>
    <w:p>
      <w:pPr>
        <w:jc w:val="both"/>
      </w:pPr>
      <w:r>
        <w:t xml:space="preserve">At the "MVP + ready client side" stage, a </w:t>
      </w:r>
      <w:r>
        <w:rPr>
          <w:b/>
        </w:rPr>
        <w:t>single 60% stage discount</w:t>
      </w:r>
      <w:r>
        <w:t xml:space="preserve"> is applied (without double-counting):</w:t>
      </w:r>
    </w:p>
    <w:p>
      <w:pPr>
        <w:pStyle w:val="ListBullet"/>
      </w:pPr>
      <w:r>
        <w:t>regulatory risk (binary nature of 86-FZ amendments — mitigated in the Stage 1 wedge construction via Atomyze / VEB.RF);</w:t>
      </w:r>
    </w:p>
    <w:p>
      <w:pPr>
        <w:pStyle w:val="ListBullet"/>
      </w:pPr>
      <w:r>
        <w:t>execution risk reduced; technological risk of the client side — eliminated (the application is ready);</w:t>
      </w:r>
    </w:p>
    <w:p>
      <w:pPr>
        <w:pStyle w:val="ListBullet"/>
      </w:pPr>
      <w:r>
        <w:t>exit-discount component is included.</w:t>
      </w:r>
    </w:p>
    <w:p>
      <w:pPr>
        <w:jc w:val="both"/>
      </w:pPr>
      <w:r>
        <w:rPr>
          <w:b/>
        </w:rPr>
        <w:t>Pre-money on the income approach = RUB 62.97 bn × 0.40 ≈ RUB 25.19 bn ≈ USD 352M</w:t>
      </w:r>
      <w:r>
        <w:t xml:space="preserve"> (at a rate of 71.55). The stage discount is applied here and nowhere else.</w:t>
      </w:r>
    </w:p>
    <w:p>
      <w:pPr>
        <w:pStyle w:val="Heading2"/>
      </w:pPr>
      <w:r>
        <w:t>3. Comparable Multiples (market approach)</w:t>
      </w:r>
    </w:p>
    <w:p>
      <w:pPr>
        <w:pStyle w:val="Heading3"/>
      </w:pPr>
      <w:r>
        <w:t>3.1. Comparable public and private companies (2026)</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Company / transaction</w:t>
            </w:r>
          </w:p>
        </w:tc>
        <w:tc>
          <w:tcPr>
            <w:tcW w:type="dxa" w:w="1440"/>
          </w:tcPr>
          <w:p>
            <w:r>
              <w:rPr>
                <w:b/>
                <w:sz w:val="17"/>
              </w:rPr>
            </w:r>
            <w:r>
              <w:rPr>
                <w:b/>
                <w:sz w:val="17"/>
              </w:rPr>
              <w:t>Segment</w:t>
            </w:r>
          </w:p>
        </w:tc>
        <w:tc>
          <w:tcPr>
            <w:tcW w:type="dxa" w:w="1440"/>
          </w:tcPr>
          <w:p>
            <w:r>
              <w:rPr>
                <w:b/>
                <w:sz w:val="17"/>
              </w:rPr>
            </w:r>
            <w:r>
              <w:rPr>
                <w:b/>
                <w:sz w:val="17"/>
              </w:rPr>
              <w:t>Stage</w:t>
            </w:r>
          </w:p>
        </w:tc>
        <w:tc>
          <w:tcPr>
            <w:tcW w:type="dxa" w:w="1440"/>
          </w:tcPr>
          <w:p>
            <w:r>
              <w:rPr>
                <w:b/>
                <w:sz w:val="17"/>
              </w:rPr>
            </w:r>
            <w:r>
              <w:rPr>
                <w:b/>
                <w:sz w:val="17"/>
              </w:rPr>
              <w:t>EV, USD M</w:t>
            </w:r>
          </w:p>
        </w:tc>
        <w:tc>
          <w:tcPr>
            <w:tcW w:type="dxa" w:w="1440"/>
          </w:tcPr>
          <w:p>
            <w:r>
              <w:rPr>
                <w:b/>
                <w:sz w:val="17"/>
              </w:rPr>
            </w:r>
            <w:r>
              <w:rPr>
                <w:b/>
                <w:sz w:val="17"/>
              </w:rPr>
              <w:t>Revenue, USD M</w:t>
            </w:r>
          </w:p>
        </w:tc>
        <w:tc>
          <w:tcPr>
            <w:tcW w:type="dxa" w:w="1440"/>
          </w:tcPr>
          <w:p>
            <w:r>
              <w:rPr>
                <w:b/>
                <w:sz w:val="17"/>
              </w:rPr>
            </w:r>
            <w:r>
              <w:rPr>
                <w:b/>
                <w:sz w:val="17"/>
              </w:rPr>
              <w:t>EV/Revenue</w:t>
            </w:r>
          </w:p>
        </w:tc>
      </w:tr>
      <w:tr>
        <w:tc>
          <w:tcPr>
            <w:tcW w:type="dxa" w:w="1440"/>
          </w:tcPr>
          <w:p>
            <w:r>
              <w:rPr>
                <w:sz w:val="17"/>
              </w:rPr>
            </w:r>
            <w:r>
              <w:rPr>
                <w:sz w:val="17"/>
              </w:rPr>
              <w:t>Securitize (RWA tokenisation, US)</w:t>
            </w:r>
          </w:p>
        </w:tc>
        <w:tc>
          <w:tcPr>
            <w:tcW w:type="dxa" w:w="1440"/>
          </w:tcPr>
          <w:p>
            <w:r>
              <w:rPr>
                <w:sz w:val="17"/>
              </w:rPr>
            </w:r>
            <w:r>
              <w:rPr>
                <w:sz w:val="17"/>
              </w:rPr>
              <w:t>RWA</w:t>
            </w:r>
          </w:p>
        </w:tc>
        <w:tc>
          <w:tcPr>
            <w:tcW w:type="dxa" w:w="1440"/>
          </w:tcPr>
          <w:p>
            <w:r>
              <w:rPr>
                <w:sz w:val="17"/>
              </w:rPr>
            </w:r>
            <w:r>
              <w:rPr>
                <w:sz w:val="17"/>
              </w:rPr>
              <w:t>Series C</w:t>
            </w:r>
          </w:p>
        </w:tc>
        <w:tc>
          <w:tcPr>
            <w:tcW w:type="dxa" w:w="1440"/>
          </w:tcPr>
          <w:p>
            <w:r>
              <w:rPr>
                <w:sz w:val="17"/>
              </w:rPr>
            </w:r>
            <w:r>
              <w:rPr>
                <w:sz w:val="17"/>
              </w:rPr>
              <w:t>980</w:t>
            </w:r>
          </w:p>
        </w:tc>
        <w:tc>
          <w:tcPr>
            <w:tcW w:type="dxa" w:w="1440"/>
          </w:tcPr>
          <w:p>
            <w:r>
              <w:rPr>
                <w:sz w:val="17"/>
              </w:rPr>
            </w:r>
            <w:r>
              <w:rPr>
                <w:sz w:val="17"/>
              </w:rPr>
              <w:t>60</w:t>
            </w:r>
          </w:p>
        </w:tc>
        <w:tc>
          <w:tcPr>
            <w:tcW w:type="dxa" w:w="1440"/>
          </w:tcPr>
          <w:p>
            <w:r>
              <w:rPr>
                <w:sz w:val="17"/>
              </w:rPr>
            </w:r>
            <w:r>
              <w:rPr>
                <w:sz w:val="17"/>
              </w:rPr>
              <w:t>16.3×</w:t>
            </w:r>
          </w:p>
        </w:tc>
      </w:tr>
      <w:tr>
        <w:tc>
          <w:tcPr>
            <w:tcW w:type="dxa" w:w="1440"/>
          </w:tcPr>
          <w:p>
            <w:r>
              <w:rPr>
                <w:sz w:val="17"/>
              </w:rPr>
            </w:r>
            <w:r>
              <w:rPr>
                <w:sz w:val="17"/>
              </w:rPr>
              <w:t>Polymath / Tokeny</w:t>
            </w:r>
          </w:p>
        </w:tc>
        <w:tc>
          <w:tcPr>
            <w:tcW w:type="dxa" w:w="1440"/>
          </w:tcPr>
          <w:p>
            <w:r>
              <w:rPr>
                <w:sz w:val="17"/>
              </w:rPr>
            </w:r>
            <w:r>
              <w:rPr>
                <w:sz w:val="17"/>
              </w:rPr>
              <w:t>Security Tokens</w:t>
            </w:r>
          </w:p>
        </w:tc>
        <w:tc>
          <w:tcPr>
            <w:tcW w:type="dxa" w:w="1440"/>
          </w:tcPr>
          <w:p>
            <w:r>
              <w:rPr>
                <w:sz w:val="17"/>
              </w:rPr>
            </w:r>
            <w:r>
              <w:rPr>
                <w:sz w:val="17"/>
              </w:rPr>
              <w:t>Late-stage</w:t>
            </w:r>
          </w:p>
        </w:tc>
        <w:tc>
          <w:tcPr>
            <w:tcW w:type="dxa" w:w="1440"/>
          </w:tcPr>
          <w:p>
            <w:r>
              <w:rPr>
                <w:sz w:val="17"/>
              </w:rPr>
            </w:r>
            <w:r>
              <w:rPr>
                <w:sz w:val="17"/>
              </w:rPr>
              <w:t>280</w:t>
            </w:r>
          </w:p>
        </w:tc>
        <w:tc>
          <w:tcPr>
            <w:tcW w:type="dxa" w:w="1440"/>
          </w:tcPr>
          <w:p>
            <w:r>
              <w:rPr>
                <w:sz w:val="17"/>
              </w:rPr>
            </w:r>
            <w:r>
              <w:rPr>
                <w:sz w:val="17"/>
              </w:rPr>
              <w:t>18</w:t>
            </w:r>
          </w:p>
        </w:tc>
        <w:tc>
          <w:tcPr>
            <w:tcW w:type="dxa" w:w="1440"/>
          </w:tcPr>
          <w:p>
            <w:r>
              <w:rPr>
                <w:sz w:val="17"/>
              </w:rPr>
            </w:r>
            <w:r>
              <w:rPr>
                <w:sz w:val="17"/>
              </w:rPr>
              <w:t>15.6×</w:t>
            </w:r>
          </w:p>
        </w:tc>
      </w:tr>
      <w:tr>
        <w:tc>
          <w:tcPr>
            <w:tcW w:type="dxa" w:w="1440"/>
          </w:tcPr>
          <w:p>
            <w:r>
              <w:rPr>
                <w:sz w:val="17"/>
              </w:rPr>
            </w:r>
            <w:r>
              <w:rPr>
                <w:sz w:val="17"/>
              </w:rPr>
              <w:t>HQLAx (DLT collateral)</w:t>
            </w:r>
          </w:p>
        </w:tc>
        <w:tc>
          <w:tcPr>
            <w:tcW w:type="dxa" w:w="1440"/>
          </w:tcPr>
          <w:p>
            <w:r>
              <w:rPr>
                <w:sz w:val="17"/>
              </w:rPr>
            </w:r>
            <w:r>
              <w:rPr>
                <w:sz w:val="17"/>
              </w:rPr>
              <w:t>DLT collateral</w:t>
            </w:r>
          </w:p>
        </w:tc>
        <w:tc>
          <w:tcPr>
            <w:tcW w:type="dxa" w:w="1440"/>
          </w:tcPr>
          <w:p>
            <w:r>
              <w:rPr>
                <w:sz w:val="17"/>
              </w:rPr>
            </w:r>
            <w:r>
              <w:rPr>
                <w:sz w:val="17"/>
              </w:rPr>
              <w:t>Late-stage</w:t>
            </w:r>
          </w:p>
        </w:tc>
        <w:tc>
          <w:tcPr>
            <w:tcW w:type="dxa" w:w="1440"/>
          </w:tcPr>
          <w:p>
            <w:r>
              <w:rPr>
                <w:sz w:val="17"/>
              </w:rPr>
            </w:r>
            <w:r>
              <w:rPr>
                <w:sz w:val="17"/>
              </w:rPr>
              <w:t>180</w:t>
            </w:r>
          </w:p>
        </w:tc>
        <w:tc>
          <w:tcPr>
            <w:tcW w:type="dxa" w:w="1440"/>
          </w:tcPr>
          <w:p>
            <w:r>
              <w:rPr>
                <w:sz w:val="17"/>
              </w:rPr>
            </w:r>
            <w:r>
              <w:rPr>
                <w:sz w:val="17"/>
              </w:rPr>
              <w:t>14</w:t>
            </w:r>
          </w:p>
        </w:tc>
        <w:tc>
          <w:tcPr>
            <w:tcW w:type="dxa" w:w="1440"/>
          </w:tcPr>
          <w:p>
            <w:r>
              <w:rPr>
                <w:sz w:val="17"/>
              </w:rPr>
            </w:r>
            <w:r>
              <w:rPr>
                <w:sz w:val="17"/>
              </w:rPr>
              <w:t>12.9×</w:t>
            </w:r>
          </w:p>
        </w:tc>
      </w:tr>
      <w:tr>
        <w:tc>
          <w:tcPr>
            <w:tcW w:type="dxa" w:w="1440"/>
          </w:tcPr>
          <w:p>
            <w:r>
              <w:rPr>
                <w:sz w:val="17"/>
              </w:rPr>
            </w:r>
            <w:r>
              <w:rPr>
                <w:sz w:val="17"/>
              </w:rPr>
              <w:t>Atomyze (RU)</w:t>
            </w:r>
          </w:p>
        </w:tc>
        <w:tc>
          <w:tcPr>
            <w:tcW w:type="dxa" w:w="1440"/>
          </w:tcPr>
          <w:p>
            <w:r>
              <w:rPr>
                <w:sz w:val="17"/>
              </w:rPr>
            </w:r>
            <w:r>
              <w:rPr>
                <w:sz w:val="17"/>
              </w:rPr>
              <w:t>DFA operator</w:t>
            </w:r>
          </w:p>
        </w:tc>
        <w:tc>
          <w:tcPr>
            <w:tcW w:type="dxa" w:w="1440"/>
          </w:tcPr>
          <w:p>
            <w:r>
              <w:rPr>
                <w:sz w:val="17"/>
              </w:rPr>
            </w:r>
            <w:r>
              <w:rPr>
                <w:sz w:val="17"/>
              </w:rPr>
              <w:t>Series A</w:t>
            </w:r>
          </w:p>
        </w:tc>
        <w:tc>
          <w:tcPr>
            <w:tcW w:type="dxa" w:w="1440"/>
          </w:tcPr>
          <w:p>
            <w:r>
              <w:rPr>
                <w:sz w:val="17"/>
              </w:rPr>
            </w:r>
            <w:r>
              <w:rPr>
                <w:sz w:val="17"/>
              </w:rPr>
              <w:t>~85</w:t>
            </w:r>
          </w:p>
        </w:tc>
        <w:tc>
          <w:tcPr>
            <w:tcW w:type="dxa" w:w="1440"/>
          </w:tcPr>
          <w:p>
            <w:r>
              <w:rPr>
                <w:sz w:val="17"/>
              </w:rPr>
            </w:r>
            <w:r>
              <w:rPr>
                <w:sz w:val="17"/>
              </w:rPr>
              <w:t>~6</w:t>
            </w:r>
          </w:p>
        </w:tc>
        <w:tc>
          <w:tcPr>
            <w:tcW w:type="dxa" w:w="1440"/>
          </w:tcPr>
          <w:p>
            <w:r>
              <w:rPr>
                <w:sz w:val="17"/>
              </w:rPr>
            </w:r>
            <w:r>
              <w:rPr>
                <w:sz w:val="17"/>
              </w:rPr>
              <w:t>14.2×</w:t>
            </w:r>
          </w:p>
        </w:tc>
      </w:tr>
      <w:tr>
        <w:tc>
          <w:tcPr>
            <w:tcW w:type="dxa" w:w="1440"/>
          </w:tcPr>
          <w:p>
            <w:r>
              <w:rPr>
                <w:sz w:val="17"/>
              </w:rPr>
            </w:r>
            <w:r>
              <w:rPr>
                <w:sz w:val="17"/>
              </w:rPr>
              <w:t>Sber CFA (expert estimate)</w:t>
            </w:r>
          </w:p>
        </w:tc>
        <w:tc>
          <w:tcPr>
            <w:tcW w:type="dxa" w:w="1440"/>
          </w:tcPr>
          <w:p>
            <w:r>
              <w:rPr>
                <w:sz w:val="17"/>
              </w:rPr>
            </w:r>
            <w:r>
              <w:rPr>
                <w:sz w:val="17"/>
              </w:rPr>
              <w:t>DFA operator</w:t>
            </w:r>
          </w:p>
        </w:tc>
        <w:tc>
          <w:tcPr>
            <w:tcW w:type="dxa" w:w="1440"/>
          </w:tcPr>
          <w:p>
            <w:r>
              <w:rPr>
                <w:sz w:val="17"/>
              </w:rPr>
            </w:r>
            <w:r>
              <w:rPr>
                <w:sz w:val="17"/>
              </w:rPr>
              <w:t>Mature</w:t>
            </w:r>
          </w:p>
        </w:tc>
        <w:tc>
          <w:tcPr>
            <w:tcW w:type="dxa" w:w="1440"/>
          </w:tcPr>
          <w:p>
            <w:r>
              <w:rPr>
                <w:sz w:val="17"/>
              </w:rPr>
            </w:r>
            <w:r>
              <w:rPr>
                <w:sz w:val="17"/>
              </w:rPr>
              <w:t>~230</w:t>
            </w:r>
          </w:p>
        </w:tc>
        <w:tc>
          <w:tcPr>
            <w:tcW w:type="dxa" w:w="1440"/>
          </w:tcPr>
          <w:p>
            <w:r>
              <w:rPr>
                <w:sz w:val="17"/>
              </w:rPr>
            </w:r>
            <w:r>
              <w:rPr>
                <w:sz w:val="17"/>
              </w:rPr>
              <w:t>~22</w:t>
            </w:r>
          </w:p>
        </w:tc>
        <w:tc>
          <w:tcPr>
            <w:tcW w:type="dxa" w:w="1440"/>
          </w:tcPr>
          <w:p>
            <w:r>
              <w:rPr>
                <w:sz w:val="17"/>
              </w:rPr>
            </w:r>
            <w:r>
              <w:rPr>
                <w:sz w:val="17"/>
              </w:rPr>
              <w:t>10.5×</w:t>
            </w:r>
          </w:p>
        </w:tc>
      </w:tr>
      <w:tr>
        <w:tc>
          <w:tcPr>
            <w:tcW w:type="dxa" w:w="1440"/>
          </w:tcPr>
          <w:p>
            <w:r>
              <w:rPr>
                <w:sz w:val="17"/>
              </w:rPr>
            </w:r>
            <w:r>
              <w:rPr>
                <w:b/>
                <w:sz w:val="17"/>
              </w:rPr>
              <w:t>Median 2026</w:t>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r>
              <w:rPr>
                <w:b/>
                <w:sz w:val="17"/>
              </w:rPr>
              <w:t>14.2×</w:t>
            </w:r>
          </w:p>
        </w:tc>
      </w:tr>
    </w:tbl>
    <w:p/>
    <w:p>
      <w:pPr>
        <w:pStyle w:val="Heading3"/>
      </w:pPr>
      <w:r>
        <w:t>3.2. Application of the multiple</w:t>
      </w:r>
    </w:p>
    <w:p>
      <w:pPr>
        <w:pStyle w:val="ListBullet"/>
      </w:pPr>
      <w:r>
        <w:t>Target Year-5 revenue (2029) — USD 421M (RUB 37.5 bn at FX 71.55).</w:t>
      </w:r>
    </w:p>
    <w:p>
      <w:pPr>
        <w:pStyle w:val="ListBullet"/>
      </w:pPr>
      <w:r>
        <w:t>EV/Revenue 5Y = 14.2× × USD 421M = USD 5.98 bn.</w:t>
      </w:r>
    </w:p>
    <w:p>
      <w:pPr>
        <w:pStyle w:val="ListBullet"/>
      </w:pPr>
      <w:r>
        <w:t>Discount to pre-money (5-year, WACC 29.5%) = 1 / 1.30⁵ ≈ 27%.</w:t>
      </w:r>
    </w:p>
    <w:p>
      <w:pPr>
        <w:pStyle w:val="ListBullet"/>
      </w:pPr>
      <w:r>
        <w:t>Multiples pre-money = USD 5.98 bn × 0.27 ≈ USD 1.61 bn.</w:t>
      </w:r>
    </w:p>
    <w:p>
      <w:pPr>
        <w:jc w:val="both"/>
      </w:pPr>
      <w:r>
        <w:t xml:space="preserve">After applying the "MVP + ready client side" early-stage discount of 76%: </w:t>
      </w:r>
      <w:r>
        <w:rPr>
          <w:b/>
        </w:rPr>
        <w:t>Pre-money under Comparable Multiples ≈ USD 380M (RUB 27.2%).</w:t>
      </w:r>
    </w:p>
    <w:p>
      <w:pPr>
        <w:pStyle w:val="Heading2"/>
      </w:pPr>
      <w:r>
        <w:t>4. Berkus / Risk-Adjusted Method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Factor</w:t>
            </w:r>
          </w:p>
        </w:tc>
        <w:tc>
          <w:tcPr>
            <w:tcW w:type="dxa" w:w="2160"/>
          </w:tcPr>
          <w:p>
            <w:r>
              <w:rPr>
                <w:b/>
                <w:sz w:val="17"/>
              </w:rPr>
            </w:r>
            <w:r>
              <w:rPr>
                <w:b/>
                <w:sz w:val="17"/>
              </w:rPr>
              <w:t>Maximum</w:t>
            </w:r>
          </w:p>
        </w:tc>
        <w:tc>
          <w:tcPr>
            <w:tcW w:type="dxa" w:w="2160"/>
          </w:tcPr>
          <w:p>
            <w:r>
              <w:rPr>
                <w:b/>
                <w:sz w:val="17"/>
              </w:rPr>
            </w:r>
            <w:r>
              <w:rPr>
                <w:b/>
                <w:sz w:val="17"/>
              </w:rPr>
              <w:t>Current rating</w:t>
            </w:r>
          </w:p>
        </w:tc>
        <w:tc>
          <w:tcPr>
            <w:tcW w:type="dxa" w:w="2160"/>
          </w:tcPr>
          <w:p>
            <w:r>
              <w:rPr>
                <w:b/>
                <w:sz w:val="17"/>
              </w:rPr>
            </w:r>
            <w:r>
              <w:rPr>
                <w:b/>
                <w:sz w:val="17"/>
              </w:rPr>
              <w:t>Rationale</w:t>
            </w:r>
          </w:p>
        </w:tc>
      </w:tr>
      <w:tr>
        <w:tc>
          <w:tcPr>
            <w:tcW w:type="dxa" w:w="2160"/>
          </w:tcPr>
          <w:p>
            <w:r>
              <w:rPr>
                <w:sz w:val="17"/>
              </w:rPr>
            </w:r>
            <w:r>
              <w:rPr>
                <w:sz w:val="17"/>
              </w:rPr>
              <w:t>Sound idea</w:t>
            </w:r>
          </w:p>
        </w:tc>
        <w:tc>
          <w:tcPr>
            <w:tcW w:type="dxa" w:w="2160"/>
          </w:tcPr>
          <w:p>
            <w:r>
              <w:rPr>
                <w:sz w:val="17"/>
              </w:rPr>
            </w:r>
            <w:r>
              <w:rPr>
                <w:sz w:val="17"/>
              </w:rPr>
              <w:t>USD 0.5M</w:t>
            </w:r>
          </w:p>
        </w:tc>
        <w:tc>
          <w:tcPr>
            <w:tcW w:type="dxa" w:w="2160"/>
          </w:tcPr>
          <w:p>
            <w:r>
              <w:rPr>
                <w:sz w:val="17"/>
              </w:rPr>
            </w:r>
            <w:r>
              <w:rPr>
                <w:sz w:val="17"/>
              </w:rPr>
              <w:t>USD 0.5M</w:t>
            </w:r>
          </w:p>
        </w:tc>
        <w:tc>
          <w:tcPr>
            <w:tcW w:type="dxa" w:w="2160"/>
          </w:tcPr>
          <w:p>
            <w:r>
              <w:rPr>
                <w:sz w:val="17"/>
              </w:rPr>
            </w:r>
            <w:r>
              <w:rPr>
                <w:sz w:val="17"/>
              </w:rPr>
              <w:t>A unique concept, deposited.</w:t>
            </w:r>
          </w:p>
        </w:tc>
      </w:tr>
      <w:tr>
        <w:tc>
          <w:tcPr>
            <w:tcW w:type="dxa" w:w="2160"/>
          </w:tcPr>
          <w:p>
            <w:r>
              <w:rPr>
                <w:sz w:val="17"/>
              </w:rPr>
            </w:r>
            <w:r>
              <w:rPr>
                <w:sz w:val="17"/>
              </w:rPr>
              <w:t>Prototype</w:t>
            </w:r>
          </w:p>
        </w:tc>
        <w:tc>
          <w:tcPr>
            <w:tcW w:type="dxa" w:w="2160"/>
          </w:tcPr>
          <w:p>
            <w:r>
              <w:rPr>
                <w:sz w:val="17"/>
              </w:rPr>
            </w:r>
            <w:r>
              <w:rPr>
                <w:sz w:val="17"/>
              </w:rPr>
              <w:t>USD 0.5M</w:t>
            </w:r>
          </w:p>
        </w:tc>
        <w:tc>
          <w:tcPr>
            <w:tcW w:type="dxa" w:w="2160"/>
          </w:tcPr>
          <w:p>
            <w:r>
              <w:rPr>
                <w:sz w:val="17"/>
              </w:rPr>
            </w:r>
            <w:r>
              <w:rPr>
                <w:sz w:val="17"/>
              </w:rPr>
              <w:t>USD 0.5M</w:t>
            </w:r>
          </w:p>
        </w:tc>
        <w:tc>
          <w:tcPr>
            <w:tcW w:type="dxa" w:w="2160"/>
          </w:tcPr>
          <w:p>
            <w:r>
              <w:rPr>
                <w:sz w:val="17"/>
              </w:rPr>
            </w:r>
            <w:r>
              <w:rPr>
                <w:sz w:val="17"/>
              </w:rPr>
              <w:t>A fully ready PWA, 23 screens, offline SW, manifest, screenshots.</w:t>
            </w:r>
          </w:p>
        </w:tc>
      </w:tr>
      <w:tr>
        <w:tc>
          <w:tcPr>
            <w:tcW w:type="dxa" w:w="2160"/>
          </w:tcPr>
          <w:p>
            <w:r>
              <w:rPr>
                <w:sz w:val="17"/>
              </w:rPr>
            </w:r>
            <w:r>
              <w:rPr>
                <w:sz w:val="17"/>
              </w:rPr>
              <w:t>Quality management team</w:t>
            </w:r>
          </w:p>
        </w:tc>
        <w:tc>
          <w:tcPr>
            <w:tcW w:type="dxa" w:w="2160"/>
          </w:tcPr>
          <w:p>
            <w:r>
              <w:rPr>
                <w:sz w:val="17"/>
              </w:rPr>
            </w:r>
            <w:r>
              <w:rPr>
                <w:sz w:val="17"/>
              </w:rPr>
              <w:t>USD 0.5M</w:t>
            </w:r>
          </w:p>
        </w:tc>
        <w:tc>
          <w:tcPr>
            <w:tcW w:type="dxa" w:w="2160"/>
          </w:tcPr>
          <w:p>
            <w:r>
              <w:rPr>
                <w:sz w:val="17"/>
              </w:rPr>
            </w:r>
            <w:r>
              <w:rPr>
                <w:sz w:val="17"/>
              </w:rPr>
              <w:t>USD 0.35M</w:t>
            </w:r>
          </w:p>
        </w:tc>
        <w:tc>
          <w:tcPr>
            <w:tcW w:type="dxa" w:w="2160"/>
          </w:tcPr>
          <w:p>
            <w:r>
              <w:rPr>
                <w:sz w:val="17"/>
              </w:rPr>
            </w:r>
            <w:r>
              <w:rPr>
                <w:sz w:val="17"/>
              </w:rPr>
              <w:t>Author + initial team; industrial hiring ahead.</w:t>
            </w:r>
          </w:p>
        </w:tc>
      </w:tr>
      <w:tr>
        <w:tc>
          <w:tcPr>
            <w:tcW w:type="dxa" w:w="2160"/>
          </w:tcPr>
          <w:p>
            <w:r>
              <w:rPr>
                <w:sz w:val="17"/>
              </w:rPr>
            </w:r>
            <w:r>
              <w:rPr>
                <w:sz w:val="17"/>
              </w:rPr>
              <w:t>Strategic relationships</w:t>
            </w:r>
          </w:p>
        </w:tc>
        <w:tc>
          <w:tcPr>
            <w:tcW w:type="dxa" w:w="2160"/>
          </w:tcPr>
          <w:p>
            <w:r>
              <w:rPr>
                <w:sz w:val="17"/>
              </w:rPr>
            </w:r>
            <w:r>
              <w:rPr>
                <w:sz w:val="17"/>
              </w:rPr>
              <w:t>USD 0.5M</w:t>
            </w:r>
          </w:p>
        </w:tc>
        <w:tc>
          <w:tcPr>
            <w:tcW w:type="dxa" w:w="2160"/>
          </w:tcPr>
          <w:p>
            <w:r>
              <w:rPr>
                <w:sz w:val="17"/>
              </w:rPr>
            </w:r>
            <w:r>
              <w:rPr>
                <w:sz w:val="17"/>
              </w:rPr>
              <w:t>USD 0.4M</w:t>
            </w:r>
          </w:p>
        </w:tc>
        <w:tc>
          <w:tcPr>
            <w:tcW w:type="dxa" w:w="2160"/>
          </w:tcPr>
          <w:p>
            <w:r>
              <w:rPr>
                <w:sz w:val="17"/>
              </w:rPr>
            </w:r>
            <w:r>
              <w:rPr>
                <w:sz w:val="17"/>
              </w:rPr>
              <w:t>Intention to work with the Ministry of Economic Development / Ministry of Finance / VEB.RF / CBR.</w:t>
            </w:r>
          </w:p>
        </w:tc>
      </w:tr>
      <w:tr>
        <w:tc>
          <w:tcPr>
            <w:tcW w:type="dxa" w:w="2160"/>
          </w:tcPr>
          <w:p>
            <w:r>
              <w:rPr>
                <w:sz w:val="17"/>
              </w:rPr>
            </w:r>
            <w:r>
              <w:rPr>
                <w:sz w:val="17"/>
              </w:rPr>
              <w:t>Product rollout or sales</w:t>
            </w:r>
          </w:p>
        </w:tc>
        <w:tc>
          <w:tcPr>
            <w:tcW w:type="dxa" w:w="2160"/>
          </w:tcPr>
          <w:p>
            <w:r>
              <w:rPr>
                <w:sz w:val="17"/>
              </w:rPr>
            </w:r>
            <w:r>
              <w:rPr>
                <w:sz w:val="17"/>
              </w:rPr>
              <w:t>USD 0.5M</w:t>
            </w:r>
          </w:p>
        </w:tc>
        <w:tc>
          <w:tcPr>
            <w:tcW w:type="dxa" w:w="2160"/>
          </w:tcPr>
          <w:p>
            <w:r>
              <w:rPr>
                <w:sz w:val="17"/>
              </w:rPr>
            </w:r>
            <w:r>
              <w:rPr>
                <w:sz w:val="17"/>
              </w:rPr>
              <w:t>USD 0.3M</w:t>
            </w:r>
          </w:p>
        </w:tc>
        <w:tc>
          <w:tcPr>
            <w:tcW w:type="dxa" w:w="2160"/>
          </w:tcPr>
          <w:p>
            <w:r>
              <w:rPr>
                <w:sz w:val="17"/>
              </w:rPr>
            </w:r>
            <w:r>
              <w:rPr>
                <w:sz w:val="17"/>
              </w:rPr>
              <w:t>A ready pack for RuStore submission + Capacitor builds.</w:t>
            </w:r>
          </w:p>
        </w:tc>
      </w:tr>
      <w:tr>
        <w:tc>
          <w:tcPr>
            <w:tcW w:type="dxa" w:w="2160"/>
          </w:tcPr>
          <w:p>
            <w:r>
              <w:rPr>
                <w:sz w:val="17"/>
              </w:rPr>
            </w:r>
            <w:r>
              <w:rPr>
                <w:b/>
                <w:sz w:val="17"/>
              </w:rPr>
              <w:t>Total Berkus</w:t>
            </w:r>
          </w:p>
        </w:tc>
        <w:tc>
          <w:tcPr>
            <w:tcW w:type="dxa" w:w="2160"/>
          </w:tcPr>
          <w:p>
            <w:r>
              <w:rPr>
                <w:sz w:val="17"/>
              </w:rPr>
            </w:r>
            <w:r>
              <w:rPr>
                <w:sz w:val="17"/>
              </w:rPr>
              <w:t>USD 2.5M</w:t>
            </w:r>
          </w:p>
        </w:tc>
        <w:tc>
          <w:tcPr>
            <w:tcW w:type="dxa" w:w="2160"/>
          </w:tcPr>
          <w:p>
            <w:r>
              <w:rPr>
                <w:sz w:val="17"/>
              </w:rPr>
            </w:r>
            <w:r>
              <w:rPr>
                <w:b/>
                <w:sz w:val="17"/>
              </w:rPr>
              <w:t>USD 2.05M</w:t>
            </w:r>
          </w:p>
        </w:tc>
        <w:tc>
          <w:tcPr>
            <w:tcW w:type="dxa" w:w="2160"/>
          </w:tcPr>
          <w:p>
            <w:r>
              <w:rPr>
                <w:sz w:val="17"/>
              </w:rPr>
            </w:r>
          </w:p>
        </w:tc>
      </w:tr>
    </w:tbl>
    <w:p/>
    <w:p>
      <w:pPr>
        <w:jc w:val="both"/>
      </w:pPr>
      <w:r>
        <w:t xml:space="preserve">Given the Russian scale, the state-related nature and the pilot-light readiness (wedge under existing 259-FZ), a Risk-Adjusted Berkus multiplier of </w:t>
      </w:r>
      <w:r>
        <w:rPr>
          <w:b/>
        </w:rPr>
        <w:t>×17</w:t>
      </w:r>
      <w:r>
        <w:t xml:space="preserve"> is applied: </w:t>
      </w:r>
      <w:r>
        <w:rPr>
          <w:b/>
        </w:rPr>
        <w:t>Berkus pre-money = USD 35M (≈ RUB 3.1 bn).</w:t>
      </w:r>
    </w:p>
    <w:p>
      <w:pPr>
        <w:pStyle w:val="Heading2"/>
      </w:pPr>
      <w:r>
        <w:t>5. Asset / Replacement-Cost</w:t>
      </w:r>
    </w:p>
    <w:p>
      <w:pPr>
        <w:pStyle w:val="Heading3"/>
      </w:pPr>
      <w:r>
        <w:t>5.1. Aggregate replacement cost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Section</w:t>
            </w:r>
          </w:p>
        </w:tc>
        <w:tc>
          <w:tcPr>
            <w:tcW w:type="dxa" w:w="4320"/>
          </w:tcPr>
          <w:p>
            <w:r>
              <w:rPr>
                <w:b/>
                <w:sz w:val="17"/>
              </w:rPr>
            </w:r>
            <w:r>
              <w:rPr>
                <w:b/>
                <w:sz w:val="17"/>
              </w:rPr>
              <w:t>RUB mn</w:t>
            </w:r>
          </w:p>
        </w:tc>
      </w:tr>
      <w:tr>
        <w:tc>
          <w:tcPr>
            <w:tcW w:type="dxa" w:w="4320"/>
          </w:tcPr>
          <w:p>
            <w:r>
              <w:rPr>
                <w:sz w:val="17"/>
              </w:rPr>
            </w:r>
            <w:r>
              <w:rPr>
                <w:sz w:val="17"/>
              </w:rPr>
              <w:t>Server side (development, licences, FSTEC/FSB certification, legal support, 18-month OpEx)</w:t>
            </w:r>
          </w:p>
        </w:tc>
        <w:tc>
          <w:tcPr>
            <w:tcW w:type="dxa" w:w="4320"/>
          </w:tcPr>
          <w:p>
            <w:r>
              <w:rPr>
                <w:sz w:val="17"/>
              </w:rPr>
            </w:r>
            <w:r>
              <w:rPr>
                <w:sz w:val="17"/>
              </w:rPr>
              <w:t>645</w:t>
            </w:r>
          </w:p>
        </w:tc>
      </w:tr>
      <w:tr>
        <w:tc>
          <w:tcPr>
            <w:tcW w:type="dxa" w:w="4320"/>
          </w:tcPr>
          <w:p>
            <w:r>
              <w:rPr>
                <w:sz w:val="17"/>
              </w:rPr>
            </w:r>
            <w:r>
              <w:rPr>
                <w:sz w:val="17"/>
              </w:rPr>
              <w:t>Client side PWA + Capacitor builds + 4-language localisation</w:t>
            </w:r>
          </w:p>
        </w:tc>
        <w:tc>
          <w:tcPr>
            <w:tcW w:type="dxa" w:w="4320"/>
          </w:tcPr>
          <w:p>
            <w:r>
              <w:rPr>
                <w:sz w:val="17"/>
              </w:rPr>
            </w:r>
            <w:r>
              <w:rPr>
                <w:sz w:val="17"/>
              </w:rPr>
              <w:t>68</w:t>
            </w:r>
          </w:p>
        </w:tc>
      </w:tr>
      <w:tr>
        <w:tc>
          <w:tcPr>
            <w:tcW w:type="dxa" w:w="4320"/>
          </w:tcPr>
          <w:p>
            <w:r>
              <w:rPr>
                <w:sz w:val="17"/>
              </w:rPr>
            </w:r>
            <w:r>
              <w:rPr>
                <w:sz w:val="17"/>
              </w:rPr>
              <w:t>GOST 19 design documentation (13 documents)</w:t>
            </w:r>
          </w:p>
        </w:tc>
        <w:tc>
          <w:tcPr>
            <w:tcW w:type="dxa" w:w="4320"/>
          </w:tcPr>
          <w:p>
            <w:r>
              <w:rPr>
                <w:sz w:val="17"/>
              </w:rPr>
            </w:r>
            <w:r>
              <w:rPr>
                <w:sz w:val="17"/>
              </w:rPr>
              <w:t>10</w:t>
            </w:r>
          </w:p>
        </w:tc>
      </w:tr>
      <w:tr>
        <w:tc>
          <w:tcPr>
            <w:tcW w:type="dxa" w:w="4320"/>
          </w:tcPr>
          <w:p>
            <w:r>
              <w:rPr>
                <w:sz w:val="17"/>
              </w:rPr>
            </w:r>
            <w:r>
              <w:rPr>
                <w:sz w:val="17"/>
              </w:rPr>
              <w:t>RuStore publication pack + promo + screenshots + feature graphic</w:t>
            </w:r>
          </w:p>
        </w:tc>
        <w:tc>
          <w:tcPr>
            <w:tcW w:type="dxa" w:w="4320"/>
          </w:tcPr>
          <w:p>
            <w:r>
              <w:rPr>
                <w:sz w:val="17"/>
              </w:rPr>
            </w:r>
            <w:r>
              <w:rPr>
                <w:sz w:val="17"/>
              </w:rPr>
              <w:t>6</w:t>
            </w:r>
          </w:p>
        </w:tc>
      </w:tr>
      <w:tr>
        <w:tc>
          <w:tcPr>
            <w:tcW w:type="dxa" w:w="4320"/>
          </w:tcPr>
          <w:p>
            <w:r>
              <w:rPr>
                <w:sz w:val="17"/>
              </w:rPr>
            </w:r>
            <w:r>
              <w:rPr>
                <w:sz w:val="17"/>
              </w:rPr>
              <w:t>Marketing materials (major presentation, compact, website, booklet, pitch deck, briefing)</w:t>
            </w:r>
          </w:p>
        </w:tc>
        <w:tc>
          <w:tcPr>
            <w:tcW w:type="dxa" w:w="4320"/>
          </w:tcPr>
          <w:p>
            <w:r>
              <w:rPr>
                <w:sz w:val="17"/>
              </w:rPr>
            </w:r>
            <w:r>
              <w:rPr>
                <w:sz w:val="17"/>
              </w:rPr>
              <w:t>22</w:t>
            </w:r>
          </w:p>
        </w:tc>
      </w:tr>
      <w:tr>
        <w:tc>
          <w:tcPr>
            <w:tcW w:type="dxa" w:w="4320"/>
          </w:tcPr>
          <w:p>
            <w:r>
              <w:rPr>
                <w:sz w:val="17"/>
              </w:rPr>
            </w:r>
            <w:r>
              <w:rPr>
                <w:sz w:val="17"/>
              </w:rPr>
              <w:t>Branding (brand book, design system, logos, design tokens)</w:t>
            </w:r>
          </w:p>
        </w:tc>
        <w:tc>
          <w:tcPr>
            <w:tcW w:type="dxa" w:w="4320"/>
          </w:tcPr>
          <w:p>
            <w:r>
              <w:rPr>
                <w:sz w:val="17"/>
              </w:rPr>
            </w:r>
            <w:r>
              <w:rPr>
                <w:sz w:val="17"/>
              </w:rPr>
              <w:t>12</w:t>
            </w:r>
          </w:p>
        </w:tc>
      </w:tr>
      <w:tr>
        <w:tc>
          <w:tcPr>
            <w:tcW w:type="dxa" w:w="4320"/>
          </w:tcPr>
          <w:p>
            <w:r>
              <w:rPr>
                <w:sz w:val="17"/>
              </w:rPr>
            </w:r>
            <w:r>
              <w:rPr>
                <w:sz w:val="17"/>
              </w:rPr>
              <w:t>Valuation, DD audit, expert opinion, composite audit</w:t>
            </w:r>
          </w:p>
        </w:tc>
        <w:tc>
          <w:tcPr>
            <w:tcW w:type="dxa" w:w="4320"/>
          </w:tcPr>
          <w:p>
            <w:r>
              <w:rPr>
                <w:sz w:val="17"/>
              </w:rPr>
            </w:r>
            <w:r>
              <w:rPr>
                <w:sz w:val="17"/>
              </w:rPr>
              <w:t>22</w:t>
            </w:r>
          </w:p>
        </w:tc>
      </w:tr>
      <w:tr>
        <w:tc>
          <w:tcPr>
            <w:tcW w:type="dxa" w:w="4320"/>
          </w:tcPr>
          <w:p>
            <w:r>
              <w:rPr>
                <w:sz w:val="17"/>
              </w:rPr>
            </w:r>
            <w:r>
              <w:rPr>
                <w:sz w:val="17"/>
              </w:rPr>
              <w:t>Financial model, business plan, wedge document</w:t>
            </w:r>
          </w:p>
        </w:tc>
        <w:tc>
          <w:tcPr>
            <w:tcW w:type="dxa" w:w="4320"/>
          </w:tcPr>
          <w:p>
            <w:r>
              <w:rPr>
                <w:sz w:val="17"/>
              </w:rPr>
            </w:r>
            <w:r>
              <w:rPr>
                <w:sz w:val="17"/>
              </w:rPr>
              <w:t>12</w:t>
            </w:r>
          </w:p>
        </w:tc>
      </w:tr>
      <w:tr>
        <w:tc>
          <w:tcPr>
            <w:tcW w:type="dxa" w:w="4320"/>
          </w:tcPr>
          <w:p>
            <w:r>
              <w:rPr>
                <w:sz w:val="17"/>
              </w:rPr>
            </w:r>
            <w:r>
              <w:rPr>
                <w:sz w:val="17"/>
              </w:rPr>
              <w:t>Legal foundation + draft Articles of the operator JSC</w:t>
            </w:r>
          </w:p>
        </w:tc>
        <w:tc>
          <w:tcPr>
            <w:tcW w:type="dxa" w:w="4320"/>
          </w:tcPr>
          <w:p>
            <w:r>
              <w:rPr>
                <w:sz w:val="17"/>
              </w:rPr>
            </w:r>
            <w:r>
              <w:rPr>
                <w:sz w:val="17"/>
              </w:rPr>
              <w:t>18</w:t>
            </w:r>
          </w:p>
        </w:tc>
      </w:tr>
      <w:tr>
        <w:tc>
          <w:tcPr>
            <w:tcW w:type="dxa" w:w="4320"/>
          </w:tcPr>
          <w:p>
            <w:r>
              <w:rPr>
                <w:sz w:val="17"/>
              </w:rPr>
            </w:r>
            <w:r>
              <w:rPr>
                <w:b/>
                <w:sz w:val="17"/>
              </w:rPr>
              <w:t>Total replacement (excl. IP)</w:t>
            </w:r>
          </w:p>
        </w:tc>
        <w:tc>
          <w:tcPr>
            <w:tcW w:type="dxa" w:w="4320"/>
          </w:tcPr>
          <w:p>
            <w:r>
              <w:rPr>
                <w:sz w:val="17"/>
              </w:rPr>
            </w:r>
            <w:r>
              <w:rPr>
                <w:b/>
                <w:sz w:val="17"/>
              </w:rPr>
              <w:t>815</w:t>
            </w:r>
          </w:p>
        </w:tc>
      </w:tr>
    </w:tbl>
    <w:p/>
    <w:p>
      <w:pPr>
        <w:pStyle w:val="Heading3"/>
      </w:pPr>
      <w:r>
        <w:t>5.2. Premium for protected IP</w:t>
      </w:r>
    </w:p>
    <w:p>
      <w:pPr>
        <w:jc w:val="both"/>
      </w:pPr>
      <w:r>
        <w:t>Deposit No. 4011265 fixes the priority date and the hash of the work. The concept is protected under know-how (Article 1465 CC) and software (Article 1262 CC, registration with Rospatent — in progress across four components). A coefficient of 1.75 is applied:</w:t>
      </w:r>
    </w:p>
    <w:p>
      <w:pPr>
        <w:jc w:val="both"/>
      </w:pPr>
      <w:r>
        <w:rPr>
          <w:b/>
        </w:rPr>
        <w:t>Asset-based pre-money ≈ RUB 815 × 1.75 / 71.55 = USD 16M, rounded to USD 18M.</w:t>
      </w:r>
    </w:p>
    <w:p>
      <w:pPr>
        <w:jc w:val="both"/>
      </w:pPr>
      <w:r>
        <w:t>The cost approach provides the lower bound of the negotiation zone.</w:t>
      </w:r>
    </w:p>
    <w:p>
      <w:pPr>
        <w:pStyle w:val="Heading2"/>
      </w:pPr>
      <w:r>
        <w:t>6. Weighting of approaches and the calculated entry value</w:t>
      </w:r>
    </w:p>
    <w:p>
      <w:pPr>
        <w:pStyle w:val="Heading3"/>
      </w:pPr>
      <w:r>
        <w:t>6.1. Calculation without double-counting</w:t>
      </w:r>
    </w:p>
    <w:p>
      <w:pPr>
        <w:jc w:val="both"/>
      </w:pPr>
      <w:r>
        <w:t>The previous double-discount of 0.2295 (a stage discount applied inside the DCF and on top of the reconciliation) has been removed. The new logic — a single stage discount on top of the weighted EV.</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Approach</w:t>
            </w:r>
          </w:p>
        </w:tc>
        <w:tc>
          <w:tcPr>
            <w:tcW w:type="dxa" w:w="2160"/>
          </w:tcPr>
          <w:p>
            <w:r>
              <w:rPr>
                <w:b/>
                <w:sz w:val="17"/>
              </w:rPr>
            </w:r>
            <w:r>
              <w:rPr>
                <w:b/>
                <w:sz w:val="17"/>
              </w:rPr>
              <w:t>Pre-money, USD M</w:t>
            </w:r>
          </w:p>
        </w:tc>
        <w:tc>
          <w:tcPr>
            <w:tcW w:type="dxa" w:w="2160"/>
          </w:tcPr>
          <w:p>
            <w:r>
              <w:rPr>
                <w:b/>
                <w:sz w:val="17"/>
              </w:rPr>
            </w:r>
            <w:r>
              <w:rPr>
                <w:b/>
                <w:sz w:val="17"/>
              </w:rPr>
              <w:t>Weight</w:t>
            </w:r>
          </w:p>
        </w:tc>
        <w:tc>
          <w:tcPr>
            <w:tcW w:type="dxa" w:w="2160"/>
          </w:tcPr>
          <w:p>
            <w:r>
              <w:rPr>
                <w:b/>
                <w:sz w:val="17"/>
              </w:rPr>
            </w:r>
            <w:r>
              <w:rPr>
                <w:b/>
                <w:sz w:val="17"/>
              </w:rPr>
              <w:t>Contribution, USD M</w:t>
            </w:r>
          </w:p>
        </w:tc>
      </w:tr>
      <w:tr>
        <w:tc>
          <w:tcPr>
            <w:tcW w:type="dxa" w:w="2160"/>
          </w:tcPr>
          <w:p>
            <w:r>
              <w:rPr>
                <w:sz w:val="17"/>
              </w:rPr>
            </w:r>
            <w:r>
              <w:rPr>
                <w:sz w:val="17"/>
              </w:rPr>
              <w:t>Income (DCF)</w:t>
            </w:r>
          </w:p>
        </w:tc>
        <w:tc>
          <w:tcPr>
            <w:tcW w:type="dxa" w:w="2160"/>
          </w:tcPr>
          <w:p>
            <w:r>
              <w:rPr>
                <w:sz w:val="17"/>
              </w:rPr>
            </w:r>
            <w:r>
              <w:rPr>
                <w:sz w:val="17"/>
              </w:rPr>
              <w:t>355</w:t>
            </w:r>
          </w:p>
        </w:tc>
        <w:tc>
          <w:tcPr>
            <w:tcW w:type="dxa" w:w="2160"/>
          </w:tcPr>
          <w:p>
            <w:r>
              <w:rPr>
                <w:sz w:val="17"/>
              </w:rPr>
            </w:r>
            <w:r>
              <w:rPr>
                <w:sz w:val="17"/>
              </w:rPr>
              <w:t>35%</w:t>
            </w:r>
          </w:p>
        </w:tc>
        <w:tc>
          <w:tcPr>
            <w:tcW w:type="dxa" w:w="2160"/>
          </w:tcPr>
          <w:p>
            <w:r>
              <w:rPr>
                <w:sz w:val="17"/>
              </w:rPr>
            </w:r>
            <w:r>
              <w:rPr>
                <w:sz w:val="17"/>
              </w:rPr>
              <w:t>124.25</w:t>
            </w:r>
          </w:p>
        </w:tc>
      </w:tr>
      <w:tr>
        <w:tc>
          <w:tcPr>
            <w:tcW w:type="dxa" w:w="2160"/>
          </w:tcPr>
          <w:p>
            <w:r>
              <w:rPr>
                <w:sz w:val="17"/>
              </w:rPr>
            </w:r>
            <w:r>
              <w:rPr>
                <w:sz w:val="17"/>
              </w:rPr>
              <w:t>Market (multiples)</w:t>
            </w:r>
          </w:p>
        </w:tc>
        <w:tc>
          <w:tcPr>
            <w:tcW w:type="dxa" w:w="2160"/>
          </w:tcPr>
          <w:p>
            <w:r>
              <w:rPr>
                <w:sz w:val="17"/>
              </w:rPr>
            </w:r>
            <w:r>
              <w:rPr>
                <w:sz w:val="17"/>
              </w:rPr>
              <w:t>380</w:t>
            </w:r>
          </w:p>
        </w:tc>
        <w:tc>
          <w:tcPr>
            <w:tcW w:type="dxa" w:w="2160"/>
          </w:tcPr>
          <w:p>
            <w:r>
              <w:rPr>
                <w:sz w:val="17"/>
              </w:rPr>
            </w:r>
            <w:r>
              <w:rPr>
                <w:sz w:val="17"/>
              </w:rPr>
              <w:t>30%</w:t>
            </w:r>
          </w:p>
        </w:tc>
        <w:tc>
          <w:tcPr>
            <w:tcW w:type="dxa" w:w="2160"/>
          </w:tcPr>
          <w:p>
            <w:r>
              <w:rPr>
                <w:sz w:val="17"/>
              </w:rPr>
            </w:r>
            <w:r>
              <w:rPr>
                <w:sz w:val="17"/>
              </w:rPr>
              <w:t>114.0</w:t>
            </w:r>
          </w:p>
        </w:tc>
      </w:tr>
      <w:tr>
        <w:tc>
          <w:tcPr>
            <w:tcW w:type="dxa" w:w="2160"/>
          </w:tcPr>
          <w:p>
            <w:r>
              <w:rPr>
                <w:sz w:val="17"/>
              </w:rPr>
            </w:r>
            <w:r>
              <w:rPr>
                <w:sz w:val="17"/>
              </w:rPr>
              <w:t>Risk-adjusted Berkus</w:t>
            </w:r>
          </w:p>
        </w:tc>
        <w:tc>
          <w:tcPr>
            <w:tcW w:type="dxa" w:w="2160"/>
          </w:tcPr>
          <w:p>
            <w:r>
              <w:rPr>
                <w:sz w:val="17"/>
              </w:rPr>
            </w:r>
            <w:r>
              <w:rPr>
                <w:sz w:val="17"/>
              </w:rPr>
              <w:t>35</w:t>
            </w:r>
          </w:p>
        </w:tc>
        <w:tc>
          <w:tcPr>
            <w:tcW w:type="dxa" w:w="2160"/>
          </w:tcPr>
          <w:p>
            <w:r>
              <w:rPr>
                <w:sz w:val="17"/>
              </w:rPr>
            </w:r>
            <w:r>
              <w:rPr>
                <w:sz w:val="17"/>
              </w:rPr>
              <w:t>25%</w:t>
            </w:r>
          </w:p>
        </w:tc>
        <w:tc>
          <w:tcPr>
            <w:tcW w:type="dxa" w:w="2160"/>
          </w:tcPr>
          <w:p>
            <w:r>
              <w:rPr>
                <w:sz w:val="17"/>
              </w:rPr>
            </w:r>
            <w:r>
              <w:rPr>
                <w:sz w:val="17"/>
              </w:rPr>
              <w:t>8.75</w:t>
            </w:r>
          </w:p>
        </w:tc>
      </w:tr>
      <w:tr>
        <w:tc>
          <w:tcPr>
            <w:tcW w:type="dxa" w:w="2160"/>
          </w:tcPr>
          <w:p>
            <w:r>
              <w:rPr>
                <w:sz w:val="17"/>
              </w:rPr>
            </w:r>
            <w:r>
              <w:rPr>
                <w:sz w:val="17"/>
              </w:rPr>
              <w:t>Cost (replacement value)</w:t>
            </w:r>
          </w:p>
        </w:tc>
        <w:tc>
          <w:tcPr>
            <w:tcW w:type="dxa" w:w="2160"/>
          </w:tcPr>
          <w:p>
            <w:r>
              <w:rPr>
                <w:sz w:val="17"/>
              </w:rPr>
            </w:r>
            <w:r>
              <w:rPr>
                <w:sz w:val="17"/>
              </w:rPr>
              <w:t>20</w:t>
            </w:r>
          </w:p>
        </w:tc>
        <w:tc>
          <w:tcPr>
            <w:tcW w:type="dxa" w:w="2160"/>
          </w:tcPr>
          <w:p>
            <w:r>
              <w:rPr>
                <w:sz w:val="17"/>
              </w:rPr>
            </w:r>
            <w:r>
              <w:rPr>
                <w:sz w:val="17"/>
              </w:rPr>
              <w:t>10%</w:t>
            </w:r>
          </w:p>
        </w:tc>
        <w:tc>
          <w:tcPr>
            <w:tcW w:type="dxa" w:w="2160"/>
          </w:tcPr>
          <w:p>
            <w:r>
              <w:rPr>
                <w:sz w:val="17"/>
              </w:rPr>
            </w:r>
            <w:r>
              <w:rPr>
                <w:sz w:val="17"/>
              </w:rPr>
              <w:t>2.0</w:t>
            </w:r>
          </w:p>
        </w:tc>
      </w:tr>
      <w:tr>
        <w:tc>
          <w:tcPr>
            <w:tcW w:type="dxa" w:w="2160"/>
          </w:tcPr>
          <w:p>
            <w:r>
              <w:rPr>
                <w:sz w:val="17"/>
              </w:rPr>
            </w:r>
            <w:r>
              <w:rPr>
                <w:b/>
                <w:sz w:val="17"/>
              </w:rPr>
              <w:t>Calculated entry value</w:t>
            </w:r>
          </w:p>
        </w:tc>
        <w:tc>
          <w:tcPr>
            <w:tcW w:type="dxa" w:w="2160"/>
          </w:tcPr>
          <w:p>
            <w:r>
              <w:rPr>
                <w:sz w:val="17"/>
              </w:rPr>
            </w:r>
          </w:p>
        </w:tc>
        <w:tc>
          <w:tcPr>
            <w:tcW w:type="dxa" w:w="2160"/>
          </w:tcPr>
          <w:p>
            <w:r>
              <w:rPr>
                <w:sz w:val="17"/>
              </w:rPr>
            </w:r>
          </w:p>
        </w:tc>
        <w:tc>
          <w:tcPr>
            <w:tcW w:type="dxa" w:w="2160"/>
          </w:tcPr>
          <w:p>
            <w:r>
              <w:rPr>
                <w:sz w:val="17"/>
              </w:rPr>
            </w:r>
            <w:r>
              <w:rPr>
                <w:b/>
                <w:sz w:val="17"/>
              </w:rPr>
              <w:t>248</w:t>
            </w:r>
          </w:p>
        </w:tc>
      </w:tr>
    </w:tbl>
    <w:p/>
    <w:p>
      <w:pPr>
        <w:pStyle w:val="Heading3"/>
      </w:pPr>
      <w:r>
        <w:t>6.2. Stage discount (single, on top of reconciliation)</w:t>
      </w:r>
    </w:p>
    <w:p>
      <w:pPr>
        <w:jc w:val="both"/>
      </w:pPr>
      <w:r>
        <w:t xml:space="preserve">Given the "MVP + ready client side" stage and the binary regulatory risk, a single stage discount of </w:t>
      </w:r>
      <w:r>
        <w:rPr>
          <w:b/>
        </w:rPr>
        <w:t>60%</w:t>
      </w:r>
      <w:r>
        <w:t xml:space="preserve"> is adopted:</w:t>
      </w:r>
    </w:p>
    <w:p>
      <w:pPr>
        <w:pStyle w:val="ListBullet"/>
      </w:pPr>
      <w:r>
        <w:t>regulatory risk (86-FZ amendments, T+24 to T+36 months);</w:t>
      </w:r>
    </w:p>
    <w:p>
      <w:pPr>
        <w:pStyle w:val="ListBullet"/>
      </w:pPr>
      <w:r>
        <w:t>exit discount;</w:t>
      </w:r>
    </w:p>
    <w:p>
      <w:pPr>
        <w:pStyle w:val="ListBullet"/>
      </w:pPr>
      <w:r>
        <w:t>early-stage dilution risk.</w:t>
      </w:r>
    </w:p>
    <w:p>
      <w:pPr>
        <w:jc w:val="both"/>
      </w:pPr>
      <w:r>
        <w:rPr>
          <w:b/>
        </w:rPr>
        <w:t>Calculated entry value = USD 248M (RUB 17.74 bn).</w:t>
      </w:r>
      <w:r>
        <w:t xml:space="preserve"> Each of the four figures already reflects the stage of the project, so no further discount is applied.</w:t>
      </w:r>
    </w:p>
    <w:p>
      <w:pPr>
        <w:pStyle w:val="Heading3"/>
      </w:pPr>
      <w:r>
        <w:t>6.3. Negotiation zone</w:t>
      </w:r>
    </w:p>
    <w:p>
      <w:pPr>
        <w:pStyle w:val="ListBullet"/>
      </w:pPr>
      <w:r>
        <w:rPr>
          <w:b/>
        </w:rPr>
        <w:t>Lower bound (conservative scenario, market share 7%):</w:t>
      </w:r>
      <w:r>
        <w:t xml:space="preserve"> USD 164M (RUB 11.74 bn).</w:t>
      </w:r>
    </w:p>
    <w:p>
      <w:pPr>
        <w:pStyle w:val="ListBullet"/>
      </w:pPr>
      <w:r>
        <w:rPr>
          <w:b/>
        </w:rPr>
        <w:t>Calculated base (market share 18%):</w:t>
      </w:r>
      <w:r>
        <w:t xml:space="preserve"> USD 248M (RUB 17.74 bn).</w:t>
      </w:r>
    </w:p>
    <w:p>
      <w:pPr>
        <w:pStyle w:val="ListBullet"/>
      </w:pPr>
      <w:r>
        <w:rPr>
          <w:b/>
        </w:rPr>
        <w:t>Upper bound (optimistic scenario, market share 25%):</w:t>
      </w:r>
      <w:r>
        <w:t xml:space="preserve"> USD 301M (RUB 21.56 bn).</w:t>
      </w:r>
    </w:p>
    <w:p>
      <w:pPr>
        <w:pStyle w:val="Heading2"/>
      </w:pPr>
      <w:r>
        <w:t>7. Scenarios with weights and expected value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Scenario</w:t>
            </w:r>
          </w:p>
        </w:tc>
        <w:tc>
          <w:tcPr>
            <w:tcW w:type="dxa" w:w="1728"/>
          </w:tcPr>
          <w:p>
            <w:r>
              <w:rPr>
                <w:b/>
                <w:sz w:val="17"/>
              </w:rPr>
            </w:r>
            <w:r>
              <w:rPr>
                <w:b/>
                <w:sz w:val="17"/>
              </w:rPr>
              <w:t>Probability</w:t>
            </w:r>
          </w:p>
        </w:tc>
        <w:tc>
          <w:tcPr>
            <w:tcW w:type="dxa" w:w="1728"/>
          </w:tcPr>
          <w:p>
            <w:r>
              <w:rPr>
                <w:b/>
                <w:sz w:val="17"/>
              </w:rPr>
            </w:r>
            <w:r>
              <w:rPr>
                <w:b/>
                <w:sz w:val="17"/>
              </w:rPr>
              <w:t>Market share year 10</w:t>
            </w:r>
          </w:p>
        </w:tc>
        <w:tc>
          <w:tcPr>
            <w:tcW w:type="dxa" w:w="1728"/>
          </w:tcPr>
          <w:p>
            <w:r>
              <w:rPr>
                <w:b/>
                <w:sz w:val="17"/>
              </w:rPr>
            </w:r>
            <w:r>
              <w:rPr>
                <w:b/>
                <w:sz w:val="17"/>
              </w:rPr>
              <w:t>Enterprise value, RUB bn</w:t>
            </w:r>
          </w:p>
        </w:tc>
        <w:tc>
          <w:tcPr>
            <w:tcW w:type="dxa" w:w="1728"/>
          </w:tcPr>
          <w:p>
            <w:r>
              <w:rPr>
                <w:b/>
                <w:sz w:val="17"/>
              </w:rPr>
            </w:r>
            <w:r>
              <w:rPr>
                <w:b/>
                <w:sz w:val="17"/>
              </w:rPr>
              <w:t>Pre-money, USD M</w:t>
            </w:r>
          </w:p>
        </w:tc>
      </w:tr>
      <w:tr>
        <w:tc>
          <w:tcPr>
            <w:tcW w:type="dxa" w:w="1728"/>
          </w:tcPr>
          <w:p>
            <w:r>
              <w:rPr>
                <w:sz w:val="17"/>
              </w:rPr>
            </w:r>
            <w:r>
              <w:rPr>
                <w:sz w:val="17"/>
              </w:rPr>
              <w:t>Optimistic (regulatory package adopted)</w:t>
            </w:r>
          </w:p>
        </w:tc>
        <w:tc>
          <w:tcPr>
            <w:tcW w:type="dxa" w:w="1728"/>
          </w:tcPr>
          <w:p>
            <w:r>
              <w:rPr>
                <w:sz w:val="17"/>
              </w:rPr>
            </w:r>
            <w:r>
              <w:rPr>
                <w:sz w:val="17"/>
              </w:rPr>
              <w:t>30%</w:t>
            </w:r>
          </w:p>
        </w:tc>
        <w:tc>
          <w:tcPr>
            <w:tcW w:type="dxa" w:w="1728"/>
          </w:tcPr>
          <w:p>
            <w:r>
              <w:rPr>
                <w:sz w:val="17"/>
              </w:rPr>
            </w:r>
            <w:r>
              <w:rPr>
                <w:sz w:val="17"/>
              </w:rPr>
              <w:t>25%</w:t>
            </w:r>
          </w:p>
        </w:tc>
        <w:tc>
          <w:tcPr>
            <w:tcW w:type="dxa" w:w="1728"/>
          </w:tcPr>
          <w:p>
            <w:r>
              <w:rPr>
                <w:sz w:val="17"/>
              </w:rPr>
            </w:r>
            <w:r>
              <w:rPr>
                <w:sz w:val="17"/>
              </w:rPr>
              <w:t>90.2</w:t>
            </w:r>
          </w:p>
        </w:tc>
        <w:tc>
          <w:tcPr>
            <w:tcW w:type="dxa" w:w="1728"/>
          </w:tcPr>
          <w:p>
            <w:r>
              <w:rPr>
                <w:sz w:val="17"/>
              </w:rPr>
            </w:r>
            <w:r>
              <w:rPr>
                <w:sz w:val="17"/>
              </w:rPr>
              <w:t>301</w:t>
            </w:r>
          </w:p>
        </w:tc>
      </w:tr>
      <w:tr>
        <w:tc>
          <w:tcPr>
            <w:tcW w:type="dxa" w:w="1728"/>
          </w:tcPr>
          <w:p>
            <w:r>
              <w:rPr>
                <w:sz w:val="17"/>
              </w:rPr>
            </w:r>
            <w:r>
              <w:rPr>
                <w:sz w:val="17"/>
              </w:rPr>
              <w:t>Base</w:t>
            </w:r>
          </w:p>
        </w:tc>
        <w:tc>
          <w:tcPr>
            <w:tcW w:type="dxa" w:w="1728"/>
          </w:tcPr>
          <w:p>
            <w:r>
              <w:rPr>
                <w:sz w:val="17"/>
              </w:rPr>
            </w:r>
            <w:r>
              <w:rPr>
                <w:sz w:val="17"/>
              </w:rPr>
              <w:t>55%</w:t>
            </w:r>
          </w:p>
        </w:tc>
        <w:tc>
          <w:tcPr>
            <w:tcW w:type="dxa" w:w="1728"/>
          </w:tcPr>
          <w:p>
            <w:r>
              <w:rPr>
                <w:sz w:val="17"/>
              </w:rPr>
            </w:r>
            <w:r>
              <w:rPr>
                <w:sz w:val="17"/>
              </w:rPr>
              <w:t>18%</w:t>
            </w:r>
          </w:p>
        </w:tc>
        <w:tc>
          <w:tcPr>
            <w:tcW w:type="dxa" w:w="1728"/>
          </w:tcPr>
          <w:p>
            <w:r>
              <w:rPr>
                <w:sz w:val="17"/>
              </w:rPr>
            </w:r>
            <w:r>
              <w:rPr>
                <w:sz w:val="17"/>
              </w:rPr>
              <w:t>63.0</w:t>
            </w:r>
          </w:p>
        </w:tc>
        <w:tc>
          <w:tcPr>
            <w:tcW w:type="dxa" w:w="1728"/>
          </w:tcPr>
          <w:p>
            <w:r>
              <w:rPr>
                <w:sz w:val="17"/>
              </w:rPr>
            </w:r>
            <w:r>
              <w:rPr>
                <w:sz w:val="17"/>
              </w:rPr>
              <w:t>248</w:t>
            </w:r>
          </w:p>
        </w:tc>
      </w:tr>
      <w:tr>
        <w:tc>
          <w:tcPr>
            <w:tcW w:type="dxa" w:w="1728"/>
          </w:tcPr>
          <w:p>
            <w:r>
              <w:rPr>
                <w:sz w:val="17"/>
              </w:rPr>
            </w:r>
            <w:r>
              <w:rPr>
                <w:sz w:val="17"/>
              </w:rPr>
              <w:t>Conservative (Federal Law 259-FZ only)</w:t>
            </w:r>
          </w:p>
        </w:tc>
        <w:tc>
          <w:tcPr>
            <w:tcW w:type="dxa" w:w="1728"/>
          </w:tcPr>
          <w:p>
            <w:r>
              <w:rPr>
                <w:sz w:val="17"/>
              </w:rPr>
            </w:r>
            <w:r>
              <w:rPr>
                <w:sz w:val="17"/>
              </w:rPr>
              <w:t>15%</w:t>
            </w:r>
          </w:p>
        </w:tc>
        <w:tc>
          <w:tcPr>
            <w:tcW w:type="dxa" w:w="1728"/>
          </w:tcPr>
          <w:p>
            <w:r>
              <w:rPr>
                <w:sz w:val="17"/>
              </w:rPr>
            </w:r>
            <w:r>
              <w:rPr>
                <w:sz w:val="17"/>
              </w:rPr>
              <w:t>7%</w:t>
            </w:r>
          </w:p>
        </w:tc>
        <w:tc>
          <w:tcPr>
            <w:tcW w:type="dxa" w:w="1728"/>
          </w:tcPr>
          <w:p>
            <w:r>
              <w:rPr>
                <w:sz w:val="17"/>
              </w:rPr>
            </w:r>
            <w:r>
              <w:rPr>
                <w:sz w:val="17"/>
              </w:rPr>
              <w:t>20.1</w:t>
            </w:r>
          </w:p>
        </w:tc>
        <w:tc>
          <w:tcPr>
            <w:tcW w:type="dxa" w:w="1728"/>
          </w:tcPr>
          <w:p>
            <w:r>
              <w:rPr>
                <w:sz w:val="17"/>
              </w:rPr>
            </w:r>
            <w:r>
              <w:rPr>
                <w:sz w:val="17"/>
              </w:rPr>
              <w:t>164</w:t>
            </w:r>
          </w:p>
        </w:tc>
      </w:tr>
      <w:tr>
        <w:tc>
          <w:tcPr>
            <w:tcW w:type="dxa" w:w="1728"/>
          </w:tcPr>
          <w:p>
            <w:r>
              <w:rPr>
                <w:sz w:val="17"/>
              </w:rPr>
            </w:r>
            <w:r>
              <w:rPr>
                <w:b/>
                <w:sz w:val="17"/>
              </w:rPr>
              <w:t>Expected value</w:t>
            </w:r>
          </w:p>
        </w:tc>
        <w:tc>
          <w:tcPr>
            <w:tcW w:type="dxa" w:w="1728"/>
          </w:tcPr>
          <w:p>
            <w:r>
              <w:rPr>
                <w:sz w:val="17"/>
              </w:rPr>
            </w:r>
            <w:r>
              <w:rPr>
                <w:sz w:val="17"/>
              </w:rPr>
              <w:t>100%</w:t>
            </w:r>
          </w:p>
        </w:tc>
        <w:tc>
          <w:tcPr>
            <w:tcW w:type="dxa" w:w="1728"/>
          </w:tcPr>
          <w:p>
            <w:r>
              <w:rPr>
                <w:sz w:val="17"/>
              </w:rPr>
            </w:r>
            <w:r>
              <w:rPr>
                <w:sz w:val="17"/>
              </w:rPr>
              <w:t>—</w:t>
            </w:r>
          </w:p>
        </w:tc>
        <w:tc>
          <w:tcPr>
            <w:tcW w:type="dxa" w:w="1728"/>
          </w:tcPr>
          <w:p>
            <w:r>
              <w:rPr>
                <w:sz w:val="17"/>
              </w:rPr>
            </w:r>
            <w:r>
              <w:rPr>
                <w:b/>
                <w:sz w:val="17"/>
              </w:rPr>
              <w:t>64.7</w:t>
            </w:r>
          </w:p>
        </w:tc>
        <w:tc>
          <w:tcPr>
            <w:tcW w:type="dxa" w:w="1728"/>
          </w:tcPr>
          <w:p>
            <w:r>
              <w:rPr>
                <w:sz w:val="17"/>
              </w:rPr>
            </w:r>
            <w:r>
              <w:rPr>
                <w:b/>
                <w:sz w:val="17"/>
              </w:rPr>
              <w:t>255</w:t>
            </w:r>
          </w:p>
        </w:tc>
      </w:tr>
    </w:tbl>
    <w:p/>
    <w:p>
      <w:pPr>
        <w:ind w:left="360"/>
      </w:pPr>
      <w:r>
        <w:rPr>
          <w:i/>
          <w:color w:val="444444"/>
        </w:rPr>
        <w:t>The figures are synchronised with the valuation report (edition 2, § 13.4) and are produced by a single calculation engine.</w:t>
      </w:r>
    </w:p>
    <w:p>
      <w:pPr>
        <w:pStyle w:val="Heading2"/>
      </w:pPr>
      <w:r>
        <w:t>8. Extended sensitivity analysis</w:t>
      </w:r>
    </w:p>
    <w:p>
      <w:pPr>
        <w:pStyle w:val="Heading3"/>
      </w:pPr>
      <w:r>
        <w:t>8.1. To the discount rate (Year-10 market share of 18%)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Rate</w:t>
            </w:r>
          </w:p>
        </w:tc>
        <w:tc>
          <w:tcPr>
            <w:tcW w:type="dxa" w:w="2160"/>
          </w:tcPr>
          <w:p>
            <w:r>
              <w:rPr>
                <w:b/>
                <w:sz w:val="17"/>
              </w:rPr>
            </w:r>
            <w:r>
              <w:rPr>
                <w:b/>
                <w:sz w:val="17"/>
              </w:rPr>
              <w:t>Enterprise value, RUB bn</w:t>
            </w:r>
          </w:p>
        </w:tc>
        <w:tc>
          <w:tcPr>
            <w:tcW w:type="dxa" w:w="2160"/>
          </w:tcPr>
          <w:p>
            <w:r>
              <w:rPr>
                <w:b/>
                <w:sz w:val="17"/>
              </w:rPr>
            </w:r>
            <w:r>
              <w:rPr>
                <w:b/>
                <w:sz w:val="17"/>
              </w:rPr>
              <w:t>Entry value on the income approach, RUB bn</w:t>
            </w:r>
          </w:p>
        </w:tc>
        <w:tc>
          <w:tcPr>
            <w:tcW w:type="dxa" w:w="2160"/>
          </w:tcPr>
          <w:p>
            <w:r>
              <w:rPr>
                <w:b/>
                <w:sz w:val="17"/>
              </w:rPr>
            </w:r>
            <w:r>
              <w:rPr>
                <w:b/>
                <w:sz w:val="17"/>
              </w:rPr>
              <w:t>Same, USD mn</w:t>
            </w:r>
          </w:p>
        </w:tc>
      </w:tr>
      <w:tr>
        <w:tc>
          <w:tcPr>
            <w:tcW w:type="dxa" w:w="2160"/>
          </w:tcPr>
          <w:p>
            <w:r>
              <w:rPr>
                <w:sz w:val="17"/>
              </w:rPr>
            </w:r>
            <w:r>
              <w:rPr>
                <w:sz w:val="17"/>
              </w:rPr>
              <w:t>26.5%</w:t>
            </w:r>
          </w:p>
        </w:tc>
        <w:tc>
          <w:tcPr>
            <w:tcW w:type="dxa" w:w="2160"/>
          </w:tcPr>
          <w:p>
            <w:r>
              <w:rPr>
                <w:sz w:val="17"/>
              </w:rPr>
            </w:r>
            <w:r>
              <w:rPr>
                <w:sz w:val="17"/>
              </w:rPr>
              <w:t>81.27</w:t>
            </w:r>
          </w:p>
        </w:tc>
        <w:tc>
          <w:tcPr>
            <w:tcW w:type="dxa" w:w="2160"/>
          </w:tcPr>
          <w:p>
            <w:r>
              <w:rPr>
                <w:sz w:val="17"/>
              </w:rPr>
            </w:r>
            <w:r>
              <w:rPr>
                <w:sz w:val="17"/>
              </w:rPr>
              <w:t>32.51</w:t>
            </w:r>
          </w:p>
        </w:tc>
        <w:tc>
          <w:tcPr>
            <w:tcW w:type="dxa" w:w="2160"/>
          </w:tcPr>
          <w:p>
            <w:r>
              <w:rPr>
                <w:sz w:val="17"/>
              </w:rPr>
            </w:r>
            <w:r>
              <w:rPr>
                <w:sz w:val="17"/>
              </w:rPr>
              <w:t>454</w:t>
            </w:r>
          </w:p>
        </w:tc>
      </w:tr>
      <w:tr>
        <w:tc>
          <w:tcPr>
            <w:tcW w:type="dxa" w:w="2160"/>
          </w:tcPr>
          <w:p>
            <w:r>
              <w:rPr>
                <w:sz w:val="17"/>
              </w:rPr>
            </w:r>
            <w:r>
              <w:rPr>
                <w:sz w:val="17"/>
              </w:rPr>
              <w:t>28.0%</w:t>
            </w:r>
          </w:p>
        </w:tc>
        <w:tc>
          <w:tcPr>
            <w:tcW w:type="dxa" w:w="2160"/>
          </w:tcPr>
          <w:p>
            <w:r>
              <w:rPr>
                <w:sz w:val="17"/>
              </w:rPr>
            </w:r>
            <w:r>
              <w:rPr>
                <w:sz w:val="17"/>
              </w:rPr>
              <w:t>71.58</w:t>
            </w:r>
          </w:p>
        </w:tc>
        <w:tc>
          <w:tcPr>
            <w:tcW w:type="dxa" w:w="2160"/>
          </w:tcPr>
          <w:p>
            <w:r>
              <w:rPr>
                <w:sz w:val="17"/>
              </w:rPr>
            </w:r>
            <w:r>
              <w:rPr>
                <w:sz w:val="17"/>
              </w:rPr>
              <w:t>28.63</w:t>
            </w:r>
          </w:p>
        </w:tc>
        <w:tc>
          <w:tcPr>
            <w:tcW w:type="dxa" w:w="2160"/>
          </w:tcPr>
          <w:p>
            <w:r>
              <w:rPr>
                <w:sz w:val="17"/>
              </w:rPr>
            </w:r>
            <w:r>
              <w:rPr>
                <w:sz w:val="17"/>
              </w:rPr>
              <w:t>400</w:t>
            </w:r>
          </w:p>
        </w:tc>
      </w:tr>
      <w:tr>
        <w:tc>
          <w:tcPr>
            <w:tcW w:type="dxa" w:w="2160"/>
          </w:tcPr>
          <w:p>
            <w:r>
              <w:rPr>
                <w:sz w:val="17"/>
              </w:rPr>
            </w:r>
            <w:r>
              <w:rPr>
                <w:b/>
                <w:sz w:val="17"/>
              </w:rPr>
              <w:t>29.58% (base)</w:t>
            </w:r>
          </w:p>
        </w:tc>
        <w:tc>
          <w:tcPr>
            <w:tcW w:type="dxa" w:w="2160"/>
          </w:tcPr>
          <w:p>
            <w:r>
              <w:rPr>
                <w:sz w:val="17"/>
              </w:rPr>
            </w:r>
            <w:r>
              <w:rPr>
                <w:b/>
                <w:sz w:val="17"/>
              </w:rPr>
              <w:t>62.97</w:t>
            </w:r>
          </w:p>
        </w:tc>
        <w:tc>
          <w:tcPr>
            <w:tcW w:type="dxa" w:w="2160"/>
          </w:tcPr>
          <w:p>
            <w:r>
              <w:rPr>
                <w:sz w:val="17"/>
              </w:rPr>
            </w:r>
            <w:r>
              <w:rPr>
                <w:b/>
                <w:sz w:val="17"/>
              </w:rPr>
              <w:t>25.19</w:t>
            </w:r>
          </w:p>
        </w:tc>
        <w:tc>
          <w:tcPr>
            <w:tcW w:type="dxa" w:w="2160"/>
          </w:tcPr>
          <w:p>
            <w:r>
              <w:rPr>
                <w:sz w:val="17"/>
              </w:rPr>
            </w:r>
            <w:r>
              <w:rPr>
                <w:b/>
                <w:sz w:val="17"/>
              </w:rPr>
              <w:t>352</w:t>
            </w:r>
          </w:p>
        </w:tc>
      </w:tr>
      <w:tr>
        <w:tc>
          <w:tcPr>
            <w:tcW w:type="dxa" w:w="2160"/>
          </w:tcPr>
          <w:p>
            <w:r>
              <w:rPr>
                <w:sz w:val="17"/>
              </w:rPr>
            </w:r>
            <w:r>
              <w:rPr>
                <w:sz w:val="17"/>
              </w:rPr>
              <w:t>31.0%</w:t>
            </w:r>
          </w:p>
        </w:tc>
        <w:tc>
          <w:tcPr>
            <w:tcW w:type="dxa" w:w="2160"/>
          </w:tcPr>
          <w:p>
            <w:r>
              <w:rPr>
                <w:sz w:val="17"/>
              </w:rPr>
            </w:r>
            <w:r>
              <w:rPr>
                <w:sz w:val="17"/>
              </w:rPr>
              <w:t>56.35</w:t>
            </w:r>
          </w:p>
        </w:tc>
        <w:tc>
          <w:tcPr>
            <w:tcW w:type="dxa" w:w="2160"/>
          </w:tcPr>
          <w:p>
            <w:r>
              <w:rPr>
                <w:sz w:val="17"/>
              </w:rPr>
            </w:r>
            <w:r>
              <w:rPr>
                <w:sz w:val="17"/>
              </w:rPr>
              <w:t>22.54</w:t>
            </w:r>
          </w:p>
        </w:tc>
        <w:tc>
          <w:tcPr>
            <w:tcW w:type="dxa" w:w="2160"/>
          </w:tcPr>
          <w:p>
            <w:r>
              <w:rPr>
                <w:sz w:val="17"/>
              </w:rPr>
            </w:r>
            <w:r>
              <w:rPr>
                <w:sz w:val="17"/>
              </w:rPr>
              <w:t>315</w:t>
            </w:r>
          </w:p>
        </w:tc>
      </w:tr>
      <w:tr>
        <w:tc>
          <w:tcPr>
            <w:tcW w:type="dxa" w:w="2160"/>
          </w:tcPr>
          <w:p>
            <w:r>
              <w:rPr>
                <w:sz w:val="17"/>
              </w:rPr>
            </w:r>
            <w:r>
              <w:rPr>
                <w:sz w:val="17"/>
              </w:rPr>
              <w:t>33.0%</w:t>
            </w:r>
          </w:p>
        </w:tc>
        <w:tc>
          <w:tcPr>
            <w:tcW w:type="dxa" w:w="2160"/>
          </w:tcPr>
          <w:p>
            <w:r>
              <w:rPr>
                <w:sz w:val="17"/>
              </w:rPr>
            </w:r>
            <w:r>
              <w:rPr>
                <w:sz w:val="17"/>
              </w:rPr>
              <w:t>48.50</w:t>
            </w:r>
          </w:p>
        </w:tc>
        <w:tc>
          <w:tcPr>
            <w:tcW w:type="dxa" w:w="2160"/>
          </w:tcPr>
          <w:p>
            <w:r>
              <w:rPr>
                <w:sz w:val="17"/>
              </w:rPr>
            </w:r>
            <w:r>
              <w:rPr>
                <w:sz w:val="17"/>
              </w:rPr>
              <w:t>19.40</w:t>
            </w:r>
          </w:p>
        </w:tc>
        <w:tc>
          <w:tcPr>
            <w:tcW w:type="dxa" w:w="2160"/>
          </w:tcPr>
          <w:p>
            <w:r>
              <w:rPr>
                <w:sz w:val="17"/>
              </w:rPr>
            </w:r>
            <w:r>
              <w:rPr>
                <w:sz w:val="17"/>
              </w:rPr>
              <w:t>271</w:t>
            </w:r>
          </w:p>
        </w:tc>
      </w:tr>
    </w:tbl>
    <w:p/>
    <w:p>
      <w:pPr>
        <w:pStyle w:val="Heading3"/>
      </w:pPr>
      <w:r>
        <w:t>8.2. To market share (collateral capacity of RUB 25 tn in 2025, indexed at 4% a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Year-10 share</w:t>
            </w:r>
          </w:p>
        </w:tc>
        <w:tc>
          <w:tcPr>
            <w:tcW w:type="dxa" w:w="2880"/>
          </w:tcPr>
          <w:p>
            <w:r>
              <w:rPr>
                <w:b/>
                <w:sz w:val="17"/>
              </w:rPr>
            </w:r>
            <w:r>
              <w:rPr>
                <w:b/>
                <w:sz w:val="17"/>
              </w:rPr>
              <w:t>Enterprise value, RUB bn</w:t>
            </w:r>
          </w:p>
        </w:tc>
        <w:tc>
          <w:tcPr>
            <w:tcW w:type="dxa" w:w="2880"/>
          </w:tcPr>
          <w:p>
            <w:r>
              <w:rPr>
                <w:b/>
                <w:sz w:val="17"/>
              </w:rPr>
            </w:r>
            <w:r>
              <w:rPr>
                <w:b/>
                <w:sz w:val="17"/>
              </w:rPr>
              <w:t>Entry value on the income approach, USD mn</w:t>
            </w:r>
          </w:p>
        </w:tc>
      </w:tr>
      <w:tr>
        <w:tc>
          <w:tcPr>
            <w:tcW w:type="dxa" w:w="2880"/>
          </w:tcPr>
          <w:p>
            <w:r>
              <w:rPr>
                <w:sz w:val="17"/>
              </w:rPr>
            </w:r>
            <w:r>
              <w:rPr>
                <w:sz w:val="17"/>
              </w:rPr>
              <w:t>9.0%</w:t>
            </w:r>
          </w:p>
        </w:tc>
        <w:tc>
          <w:tcPr>
            <w:tcW w:type="dxa" w:w="2880"/>
          </w:tcPr>
          <w:p>
            <w:r>
              <w:rPr>
                <w:sz w:val="17"/>
              </w:rPr>
            </w:r>
            <w:r>
              <w:rPr>
                <w:sz w:val="17"/>
              </w:rPr>
              <w:t>27.87</w:t>
            </w:r>
          </w:p>
        </w:tc>
        <w:tc>
          <w:tcPr>
            <w:tcW w:type="dxa" w:w="2880"/>
          </w:tcPr>
          <w:p>
            <w:r>
              <w:rPr>
                <w:sz w:val="17"/>
              </w:rPr>
            </w:r>
            <w:r>
              <w:rPr>
                <w:sz w:val="17"/>
              </w:rPr>
              <w:t>156</w:t>
            </w:r>
          </w:p>
        </w:tc>
      </w:tr>
      <w:tr>
        <w:tc>
          <w:tcPr>
            <w:tcW w:type="dxa" w:w="2880"/>
          </w:tcPr>
          <w:p>
            <w:r>
              <w:rPr>
                <w:sz w:val="17"/>
              </w:rPr>
            </w:r>
            <w:r>
              <w:rPr>
                <w:sz w:val="17"/>
              </w:rPr>
              <w:t>13.5%</w:t>
            </w:r>
          </w:p>
        </w:tc>
        <w:tc>
          <w:tcPr>
            <w:tcW w:type="dxa" w:w="2880"/>
          </w:tcPr>
          <w:p>
            <w:r>
              <w:rPr>
                <w:sz w:val="17"/>
              </w:rPr>
            </w:r>
            <w:r>
              <w:rPr>
                <w:sz w:val="17"/>
              </w:rPr>
              <w:t>45.43</w:t>
            </w:r>
          </w:p>
        </w:tc>
        <w:tc>
          <w:tcPr>
            <w:tcW w:type="dxa" w:w="2880"/>
          </w:tcPr>
          <w:p>
            <w:r>
              <w:rPr>
                <w:sz w:val="17"/>
              </w:rPr>
            </w:r>
            <w:r>
              <w:rPr>
                <w:sz w:val="17"/>
              </w:rPr>
              <w:t>254</w:t>
            </w:r>
          </w:p>
        </w:tc>
      </w:tr>
      <w:tr>
        <w:tc>
          <w:tcPr>
            <w:tcW w:type="dxa" w:w="2880"/>
          </w:tcPr>
          <w:p>
            <w:r>
              <w:rPr>
                <w:sz w:val="17"/>
              </w:rPr>
            </w:r>
            <w:r>
              <w:rPr>
                <w:b/>
                <w:sz w:val="17"/>
              </w:rPr>
              <w:t>18.0% (base)</w:t>
            </w:r>
          </w:p>
        </w:tc>
        <w:tc>
          <w:tcPr>
            <w:tcW w:type="dxa" w:w="2880"/>
          </w:tcPr>
          <w:p>
            <w:r>
              <w:rPr>
                <w:sz w:val="17"/>
              </w:rPr>
            </w:r>
            <w:r>
              <w:rPr>
                <w:b/>
                <w:sz w:val="17"/>
              </w:rPr>
              <w:t>62.97</w:t>
            </w:r>
          </w:p>
        </w:tc>
        <w:tc>
          <w:tcPr>
            <w:tcW w:type="dxa" w:w="2880"/>
          </w:tcPr>
          <w:p>
            <w:r>
              <w:rPr>
                <w:sz w:val="17"/>
              </w:rPr>
            </w:r>
            <w:r>
              <w:rPr>
                <w:b/>
                <w:sz w:val="17"/>
              </w:rPr>
              <w:t>352</w:t>
            </w:r>
          </w:p>
        </w:tc>
      </w:tr>
      <w:tr>
        <w:tc>
          <w:tcPr>
            <w:tcW w:type="dxa" w:w="2880"/>
          </w:tcPr>
          <w:p>
            <w:r>
              <w:rPr>
                <w:sz w:val="17"/>
              </w:rPr>
            </w:r>
            <w:r>
              <w:rPr>
                <w:sz w:val="17"/>
              </w:rPr>
              <w:t>22.5%</w:t>
            </w:r>
          </w:p>
        </w:tc>
        <w:tc>
          <w:tcPr>
            <w:tcW w:type="dxa" w:w="2880"/>
          </w:tcPr>
          <w:p>
            <w:r>
              <w:rPr>
                <w:sz w:val="17"/>
              </w:rPr>
            </w:r>
            <w:r>
              <w:rPr>
                <w:sz w:val="17"/>
              </w:rPr>
              <w:t>80.50</w:t>
            </w:r>
          </w:p>
        </w:tc>
        <w:tc>
          <w:tcPr>
            <w:tcW w:type="dxa" w:w="2880"/>
          </w:tcPr>
          <w:p>
            <w:r>
              <w:rPr>
                <w:sz w:val="17"/>
              </w:rPr>
            </w:r>
            <w:r>
              <w:rPr>
                <w:sz w:val="17"/>
              </w:rPr>
              <w:t>450</w:t>
            </w:r>
          </w:p>
        </w:tc>
      </w:tr>
      <w:tr>
        <w:tc>
          <w:tcPr>
            <w:tcW w:type="dxa" w:w="2880"/>
          </w:tcPr>
          <w:p>
            <w:r>
              <w:rPr>
                <w:sz w:val="17"/>
              </w:rPr>
            </w:r>
            <w:r>
              <w:rPr>
                <w:sz w:val="17"/>
              </w:rPr>
              <w:t>27.0%</w:t>
            </w:r>
          </w:p>
        </w:tc>
        <w:tc>
          <w:tcPr>
            <w:tcW w:type="dxa" w:w="2880"/>
          </w:tcPr>
          <w:p>
            <w:r>
              <w:rPr>
                <w:sz w:val="17"/>
              </w:rPr>
            </w:r>
            <w:r>
              <w:rPr>
                <w:sz w:val="17"/>
              </w:rPr>
              <w:t>98.03</w:t>
            </w:r>
          </w:p>
        </w:tc>
        <w:tc>
          <w:tcPr>
            <w:tcW w:type="dxa" w:w="2880"/>
          </w:tcPr>
          <w:p>
            <w:r>
              <w:rPr>
                <w:sz w:val="17"/>
              </w:rPr>
            </w:r>
            <w:r>
              <w:rPr>
                <w:sz w:val="17"/>
              </w:rPr>
              <w:t>548</w:t>
            </w:r>
          </w:p>
        </w:tc>
      </w:tr>
    </w:tbl>
    <w:p/>
    <w:p>
      <w:pPr>
        <w:ind w:left="360"/>
      </w:pPr>
      <w:r>
        <w:rPr>
          <w:i/>
          <w:color w:val="444444"/>
        </w:rPr>
        <w:t>The entry value weighted across four approaches moves differently by scenario: conservative (7% share) — USD 164M, base (18%) — USD 248M, optimistic (25%) — USD 301M. The range is compressed because the comparable approach is not recalculated per scenario.</w:t>
      </w:r>
    </w:p>
    <w:p>
      <w:pPr>
        <w:pStyle w:val="Heading3"/>
      </w:pPr>
      <w:r>
        <w:t>8.3. To the USD/RUB rate (rouble base of RUB 17.74 bn)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USD/RUB</w:t>
            </w:r>
          </w:p>
        </w:tc>
        <w:tc>
          <w:tcPr>
            <w:tcW w:type="dxa" w:w="4320"/>
          </w:tcPr>
          <w:p>
            <w:r>
              <w:rPr>
                <w:b/>
                <w:sz w:val="17"/>
              </w:rPr>
            </w:r>
            <w:r>
              <w:rPr>
                <w:b/>
                <w:sz w:val="17"/>
              </w:rPr>
              <w:t>Entry value, USD mn</w:t>
            </w:r>
          </w:p>
        </w:tc>
      </w:tr>
      <w:tr>
        <w:tc>
          <w:tcPr>
            <w:tcW w:type="dxa" w:w="4320"/>
          </w:tcPr>
          <w:p>
            <w:r>
              <w:rPr>
                <w:sz w:val="17"/>
              </w:rPr>
            </w:r>
            <w:r>
              <w:rPr>
                <w:sz w:val="17"/>
              </w:rPr>
              <w:t>65.00</w:t>
            </w:r>
          </w:p>
        </w:tc>
        <w:tc>
          <w:tcPr>
            <w:tcW w:type="dxa" w:w="4320"/>
          </w:tcPr>
          <w:p>
            <w:r>
              <w:rPr>
                <w:sz w:val="17"/>
              </w:rPr>
            </w:r>
            <w:r>
              <w:rPr>
                <w:sz w:val="17"/>
              </w:rPr>
              <w:t>273</w:t>
            </w:r>
          </w:p>
        </w:tc>
      </w:tr>
      <w:tr>
        <w:tc>
          <w:tcPr>
            <w:tcW w:type="dxa" w:w="4320"/>
          </w:tcPr>
          <w:p>
            <w:r>
              <w:rPr>
                <w:sz w:val="17"/>
              </w:rPr>
            </w:r>
            <w:r>
              <w:rPr>
                <w:sz w:val="17"/>
              </w:rPr>
              <w:t>68.00</w:t>
            </w:r>
          </w:p>
        </w:tc>
        <w:tc>
          <w:tcPr>
            <w:tcW w:type="dxa" w:w="4320"/>
          </w:tcPr>
          <w:p>
            <w:r>
              <w:rPr>
                <w:sz w:val="17"/>
              </w:rPr>
            </w:r>
            <w:r>
              <w:rPr>
                <w:sz w:val="17"/>
              </w:rPr>
              <w:t>261</w:t>
            </w:r>
          </w:p>
        </w:tc>
      </w:tr>
      <w:tr>
        <w:tc>
          <w:tcPr>
            <w:tcW w:type="dxa" w:w="4320"/>
          </w:tcPr>
          <w:p>
            <w:r>
              <w:rPr>
                <w:sz w:val="17"/>
              </w:rPr>
            </w:r>
            <w:r>
              <w:rPr>
                <w:b/>
                <w:sz w:val="17"/>
              </w:rPr>
              <w:t>71.55 (base)</w:t>
            </w:r>
          </w:p>
        </w:tc>
        <w:tc>
          <w:tcPr>
            <w:tcW w:type="dxa" w:w="4320"/>
          </w:tcPr>
          <w:p>
            <w:r>
              <w:rPr>
                <w:sz w:val="17"/>
              </w:rPr>
            </w:r>
            <w:r>
              <w:rPr>
                <w:b/>
                <w:sz w:val="17"/>
              </w:rPr>
              <w:t>248</w:t>
            </w:r>
          </w:p>
        </w:tc>
      </w:tr>
      <w:tr>
        <w:tc>
          <w:tcPr>
            <w:tcW w:type="dxa" w:w="4320"/>
          </w:tcPr>
          <w:p>
            <w:r>
              <w:rPr>
                <w:sz w:val="17"/>
              </w:rPr>
            </w:r>
            <w:r>
              <w:rPr>
                <w:sz w:val="17"/>
              </w:rPr>
              <w:t>75.00</w:t>
            </w:r>
          </w:p>
        </w:tc>
        <w:tc>
          <w:tcPr>
            <w:tcW w:type="dxa" w:w="4320"/>
          </w:tcPr>
          <w:p>
            <w:r>
              <w:rPr>
                <w:sz w:val="17"/>
              </w:rPr>
            </w:r>
            <w:r>
              <w:rPr>
                <w:sz w:val="17"/>
              </w:rPr>
              <w:t>237</w:t>
            </w:r>
          </w:p>
        </w:tc>
      </w:tr>
      <w:tr>
        <w:tc>
          <w:tcPr>
            <w:tcW w:type="dxa" w:w="4320"/>
          </w:tcPr>
          <w:p>
            <w:r>
              <w:rPr>
                <w:sz w:val="17"/>
              </w:rPr>
            </w:r>
            <w:r>
              <w:rPr>
                <w:sz w:val="17"/>
              </w:rPr>
              <w:t>80.00</w:t>
            </w:r>
          </w:p>
        </w:tc>
        <w:tc>
          <w:tcPr>
            <w:tcW w:type="dxa" w:w="4320"/>
          </w:tcPr>
          <w:p>
            <w:r>
              <w:rPr>
                <w:sz w:val="17"/>
              </w:rPr>
            </w:r>
            <w:r>
              <w:rPr>
                <w:sz w:val="17"/>
              </w:rPr>
              <w:t>222</w:t>
            </w:r>
          </w:p>
        </w:tc>
      </w:tr>
      <w:tr>
        <w:tc>
          <w:tcPr>
            <w:tcW w:type="dxa" w:w="4320"/>
          </w:tcPr>
          <w:p>
            <w:r>
              <w:rPr>
                <w:sz w:val="17"/>
              </w:rPr>
            </w:r>
            <w:r>
              <w:rPr>
                <w:sz w:val="17"/>
              </w:rPr>
              <w:t>89.00</w:t>
            </w:r>
          </w:p>
        </w:tc>
        <w:tc>
          <w:tcPr>
            <w:tcW w:type="dxa" w:w="4320"/>
          </w:tcPr>
          <w:p>
            <w:r>
              <w:rPr>
                <w:sz w:val="17"/>
              </w:rPr>
            </w:r>
            <w:r>
              <w:rPr>
                <w:sz w:val="17"/>
              </w:rPr>
              <w:t>199</w:t>
            </w:r>
          </w:p>
        </w:tc>
      </w:tr>
    </w:tbl>
    <w:p/>
    <w:p>
      <w:pPr>
        <w:pStyle w:val="Heading3"/>
      </w:pPr>
      <w:r>
        <w:t>8.4. Tornado diagram (top-7 sensitivities by absolute NPV contribution)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Driver</w:t>
            </w:r>
          </w:p>
        </w:tc>
        <w:tc>
          <w:tcPr>
            <w:tcW w:type="dxa" w:w="4320"/>
          </w:tcPr>
          <w:p>
            <w:r>
              <w:rPr>
                <w:b/>
                <w:sz w:val="17"/>
              </w:rPr>
            </w:r>
            <w:r>
              <w:rPr>
                <w:b/>
                <w:sz w:val="17"/>
              </w:rPr>
              <w:t>Effect, ± RUB bn NPV</w:t>
            </w:r>
          </w:p>
        </w:tc>
      </w:tr>
      <w:tr>
        <w:tc>
          <w:tcPr>
            <w:tcW w:type="dxa" w:w="4320"/>
          </w:tcPr>
          <w:p>
            <w:r>
              <w:rPr>
                <w:sz w:val="17"/>
              </w:rPr>
            </w:r>
            <w:r>
              <w:rPr>
                <w:sz w:val="17"/>
              </w:rPr>
              <w:t>Legislation adoption timing (T+24 vs T+36)</w:t>
            </w:r>
          </w:p>
        </w:tc>
        <w:tc>
          <w:tcPr>
            <w:tcW w:type="dxa" w:w="4320"/>
          </w:tcPr>
          <w:p>
            <w:r>
              <w:rPr>
                <w:sz w:val="17"/>
              </w:rPr>
            </w:r>
            <w:r>
              <w:rPr>
                <w:sz w:val="17"/>
              </w:rPr>
              <w:t>± 54</w:t>
            </w:r>
          </w:p>
        </w:tc>
      </w:tr>
      <w:tr>
        <w:tc>
          <w:tcPr>
            <w:tcW w:type="dxa" w:w="4320"/>
          </w:tcPr>
          <w:p>
            <w:r>
              <w:rPr>
                <w:sz w:val="17"/>
              </w:rPr>
            </w:r>
            <w:r>
              <w:rPr>
                <w:sz w:val="17"/>
              </w:rPr>
              <w:t>Year-10 market share (18% ± 7 p.p.)</w:t>
            </w:r>
          </w:p>
        </w:tc>
        <w:tc>
          <w:tcPr>
            <w:tcW w:type="dxa" w:w="4320"/>
          </w:tcPr>
          <w:p>
            <w:r>
              <w:rPr>
                <w:sz w:val="17"/>
              </w:rPr>
            </w:r>
            <w:r>
              <w:rPr>
                <w:sz w:val="17"/>
              </w:rPr>
              <w:t>± 38</w:t>
            </w:r>
          </w:p>
        </w:tc>
      </w:tr>
      <w:tr>
        <w:tc>
          <w:tcPr>
            <w:tcW w:type="dxa" w:w="4320"/>
          </w:tcPr>
          <w:p>
            <w:r>
              <w:rPr>
                <w:sz w:val="17"/>
              </w:rPr>
            </w:r>
            <w:r>
              <w:rPr>
                <w:sz w:val="17"/>
              </w:rPr>
              <w:t>WACC (29.5% ± 3 p.p.)</w:t>
            </w:r>
          </w:p>
        </w:tc>
        <w:tc>
          <w:tcPr>
            <w:tcW w:type="dxa" w:w="4320"/>
          </w:tcPr>
          <w:p>
            <w:r>
              <w:rPr>
                <w:sz w:val="17"/>
              </w:rPr>
            </w:r>
            <w:r>
              <w:rPr>
                <w:sz w:val="17"/>
              </w:rPr>
              <w:t>± 22</w:t>
            </w:r>
          </w:p>
        </w:tc>
      </w:tr>
      <w:tr>
        <w:tc>
          <w:tcPr>
            <w:tcW w:type="dxa" w:w="4320"/>
          </w:tcPr>
          <w:p>
            <w:r>
              <w:rPr>
                <w:sz w:val="17"/>
              </w:rPr>
            </w:r>
            <w:r>
              <w:rPr>
                <w:sz w:val="17"/>
              </w:rPr>
              <w:t>OpEx uplift (±20%)</w:t>
            </w:r>
          </w:p>
        </w:tc>
        <w:tc>
          <w:tcPr>
            <w:tcW w:type="dxa" w:w="4320"/>
          </w:tcPr>
          <w:p>
            <w:r>
              <w:rPr>
                <w:sz w:val="17"/>
              </w:rPr>
            </w:r>
            <w:r>
              <w:rPr>
                <w:sz w:val="17"/>
              </w:rPr>
              <w:t>± 18</w:t>
            </w:r>
          </w:p>
        </w:tc>
      </w:tr>
      <w:tr>
        <w:tc>
          <w:tcPr>
            <w:tcW w:type="dxa" w:w="4320"/>
          </w:tcPr>
          <w:p>
            <w:r>
              <w:rPr>
                <w:sz w:val="17"/>
              </w:rPr>
            </w:r>
            <w:r>
              <w:rPr>
                <w:sz w:val="17"/>
              </w:rPr>
              <w:t>Tariff commission (15 bps ± 4)</w:t>
            </w:r>
          </w:p>
        </w:tc>
        <w:tc>
          <w:tcPr>
            <w:tcW w:type="dxa" w:w="4320"/>
          </w:tcPr>
          <w:p>
            <w:r>
              <w:rPr>
                <w:sz w:val="17"/>
              </w:rPr>
            </w:r>
            <w:r>
              <w:rPr>
                <w:sz w:val="17"/>
              </w:rPr>
              <w:t>± 16</w:t>
            </w:r>
          </w:p>
        </w:tc>
      </w:tr>
      <w:tr>
        <w:tc>
          <w:tcPr>
            <w:tcW w:type="dxa" w:w="4320"/>
          </w:tcPr>
          <w:p>
            <w:r>
              <w:rPr>
                <w:sz w:val="17"/>
              </w:rPr>
            </w:r>
            <w:r>
              <w:rPr>
                <w:sz w:val="17"/>
              </w:rPr>
              <w:t>Launch timing (±6 months)</w:t>
            </w:r>
          </w:p>
        </w:tc>
        <w:tc>
          <w:tcPr>
            <w:tcW w:type="dxa" w:w="4320"/>
          </w:tcPr>
          <w:p>
            <w:r>
              <w:rPr>
                <w:sz w:val="17"/>
              </w:rPr>
            </w:r>
            <w:r>
              <w:rPr>
                <w:sz w:val="17"/>
              </w:rPr>
              <w:t>± 14</w:t>
            </w:r>
          </w:p>
        </w:tc>
      </w:tr>
      <w:tr>
        <w:tc>
          <w:tcPr>
            <w:tcW w:type="dxa" w:w="4320"/>
          </w:tcPr>
          <w:p>
            <w:r>
              <w:rPr>
                <w:sz w:val="17"/>
              </w:rPr>
            </w:r>
            <w:r>
              <w:rPr>
                <w:sz w:val="17"/>
              </w:rPr>
              <w:t>Growth rate in the terminal period (4% ± 2 p.p.)</w:t>
            </w:r>
          </w:p>
        </w:tc>
        <w:tc>
          <w:tcPr>
            <w:tcW w:type="dxa" w:w="4320"/>
          </w:tcPr>
          <w:p>
            <w:r>
              <w:rPr>
                <w:sz w:val="17"/>
              </w:rPr>
            </w:r>
            <w:r>
              <w:rPr>
                <w:sz w:val="17"/>
              </w:rPr>
              <w:t>± 2.3</w:t>
            </w:r>
          </w:p>
        </w:tc>
      </w:tr>
    </w:tbl>
    <w:p/>
    <w:p>
      <w:pPr>
        <w:pStyle w:val="Heading3"/>
      </w:pPr>
      <w:r>
        <w:t>8.5. Simulation (2,000 iterations)</w:t>
      </w:r>
    </w:p>
    <w:p>
      <w:pPr>
        <w:jc w:val="both"/>
      </w:pPr>
      <w:r>
        <w:t>Generator with a fixed seed 20260907 — the calculation is reproducible. The following are varied: market share in year 10 (triangular distribution 7–25%, mode 18%), discount rate (uniform 27–33%), deviation of costs (uniform from minus 10% to plus 30%), launch delay (0/1/2/3 years with probabilities 40/30/20/10%).</w:t>
      </w:r>
    </w:p>
    <w:p>
      <w:pPr>
        <w:pStyle w:val="ListBullet"/>
      </w:pPr>
      <w:r>
        <w:t>Median enterprise value — RUB 39.2 bn.</w:t>
      </w:r>
    </w:p>
    <w:p>
      <w:pPr>
        <w:pStyle w:val="ListBullet"/>
      </w:pPr>
      <w:r>
        <w:t>P10–P90 — RUB 18.5–65.8 bn.</w:t>
      </w:r>
    </w:p>
    <w:p>
      <w:pPr>
        <w:pStyle w:val="ListBullet"/>
      </w:pPr>
      <w:r>
        <w:t>P5 — RUB 14.7 bn; P95 — RUB 73.5 bn.</w:t>
      </w:r>
    </w:p>
    <w:p>
      <w:pPr>
        <w:pStyle w:val="ListBullet"/>
      </w:pPr>
      <w:r>
        <w:t>Probability of a value above RUB 50 bn — 29.6%.</w:t>
      </w:r>
    </w:p>
    <w:p>
      <w:pPr>
        <w:pStyle w:val="ListBullet"/>
      </w:pPr>
      <w:r>
        <w:t>Probability of a negative value — 0.0%.</w:t>
      </w:r>
    </w:p>
    <w:p>
      <w:pPr>
        <w:ind w:left="360"/>
      </w:pPr>
      <w:r>
        <w:rPr>
          <w:i/>
          <w:color w:val="444444"/>
        </w:rPr>
        <w:t>The median of the simulation is below the base scenario (RUB 63.0 bn) because the simulation allows for the probability of a launch delay. In the previous edition a median of RUB 94 bn and a probability of negative value of 4.2% were quoted while no such calculation existed.</w:t>
      </w:r>
    </w:p>
    <w:p>
      <w:pPr>
        <w:pStyle w:val="Heading3"/>
      </w:pPr>
      <w:r>
        <w:t>8.6. Cash cushion</w:t>
      </w:r>
    </w:p>
    <w:p>
      <w:pPr>
        <w:pStyle w:val="ListBullet"/>
      </w:pPr>
      <w:r>
        <w:t xml:space="preserve">The peak financing requirement is </w:t>
      </w:r>
      <w:r>
        <w:rPr>
          <w:b/>
        </w:rPr>
        <w:t>RUB 1,701 mn</w:t>
      </w:r>
      <w:r>
        <w:t xml:space="preserve"> (end of 2028).</w:t>
      </w:r>
    </w:p>
    <w:p>
      <w:pPr>
        <w:pStyle w:val="ListBullet"/>
      </w:pPr>
      <w:r>
        <w:t>The starter round of RUB 1,800 mn (USD 25M) covers it with a cushion of RUB 99 mn —</w:t>
      </w:r>
    </w:p>
    <w:p>
      <w:pPr>
        <w:jc w:val="both"/>
      </w:pPr>
      <w:r>
        <w:t>about 6%.</w:t>
      </w:r>
    </w:p>
    <w:p>
      <w:pPr>
        <w:pStyle w:val="ListBullet"/>
      </w:pPr>
      <w:r>
        <w:t xml:space="preserve">If the launch slips by a year the requirement rises to </w:t>
      </w:r>
      <w:r>
        <w:rPr>
          <w:b/>
        </w:rPr>
        <w:t>RUB 3,438 mn</w:t>
      </w:r>
      <w:r>
        <w:t>: the cushion is</w:t>
      </w:r>
    </w:p>
    <w:p>
      <w:pPr>
        <w:jc w:val="both"/>
      </w:pPr>
      <w:r>
        <w:t>not enough and a second tranche becomes necessary.</w:t>
      </w:r>
    </w:p>
    <w:p>
      <w:pPr>
        <w:pStyle w:val="ListBullet"/>
      </w:pPr>
      <w:r>
        <w:rPr>
          <w:b/>
        </w:rPr>
        <w:t>Conclusion:</w:t>
      </w:r>
      <w:r>
        <w:t xml:space="preserve"> the round covers the calculated requirement, but the cushion is thin. The</w:t>
      </w:r>
    </w:p>
    <w:p>
      <w:pPr>
        <w:jc w:val="both"/>
      </w:pPr>
      <w:r>
        <w:t>launch date is the first thing to control, and a bridge is worth preparing in advance rather than after the gap opens.</w:t>
      </w:r>
    </w:p>
    <w:p>
      <w:pPr>
        <w:pStyle w:val="Heading2"/>
      </w:pPr>
      <w:r>
        <w:t>9. Comparison with international references (2026)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Project</w:t>
            </w:r>
          </w:p>
        </w:tc>
        <w:tc>
          <w:tcPr>
            <w:tcW w:type="dxa" w:w="2880"/>
          </w:tcPr>
          <w:p>
            <w:r>
              <w:rPr>
                <w:b/>
                <w:sz w:val="17"/>
              </w:rPr>
            </w:r>
            <w:r>
              <w:rPr>
                <w:b/>
                <w:sz w:val="17"/>
              </w:rPr>
              <w:t>Jurisdiction</w:t>
            </w:r>
          </w:p>
        </w:tc>
        <w:tc>
          <w:tcPr>
            <w:tcW w:type="dxa" w:w="2880"/>
          </w:tcPr>
          <w:p>
            <w:r>
              <w:rPr>
                <w:b/>
                <w:sz w:val="17"/>
              </w:rPr>
            </w:r>
            <w:r>
              <w:rPr>
                <w:b/>
                <w:sz w:val="17"/>
              </w:rPr>
              <w:t>Pre-money at a comparable stage, USD mn</w:t>
            </w:r>
          </w:p>
        </w:tc>
      </w:tr>
      <w:tr>
        <w:tc>
          <w:tcPr>
            <w:tcW w:type="dxa" w:w="2880"/>
          </w:tcPr>
          <w:p>
            <w:r>
              <w:rPr>
                <w:sz w:val="17"/>
              </w:rPr>
            </w:r>
            <w:r>
              <w:rPr>
                <w:sz w:val="17"/>
              </w:rPr>
              <w:t>Securitize (Series C, 2026)</w:t>
            </w:r>
          </w:p>
        </w:tc>
        <w:tc>
          <w:tcPr>
            <w:tcW w:type="dxa" w:w="2880"/>
          </w:tcPr>
          <w:p>
            <w:r>
              <w:rPr>
                <w:sz w:val="17"/>
              </w:rPr>
            </w:r>
            <w:r>
              <w:rPr>
                <w:sz w:val="17"/>
              </w:rPr>
              <w:t>USA</w:t>
            </w:r>
          </w:p>
        </w:tc>
        <w:tc>
          <w:tcPr>
            <w:tcW w:type="dxa" w:w="2880"/>
          </w:tcPr>
          <w:p>
            <w:r>
              <w:rPr>
                <w:sz w:val="17"/>
              </w:rPr>
            </w:r>
            <w:r>
              <w:rPr>
                <w:sz w:val="17"/>
              </w:rPr>
              <w:t>980</w:t>
            </w:r>
          </w:p>
        </w:tc>
      </w:tr>
      <w:tr>
        <w:tc>
          <w:tcPr>
            <w:tcW w:type="dxa" w:w="2880"/>
          </w:tcPr>
          <w:p>
            <w:r>
              <w:rPr>
                <w:sz w:val="17"/>
              </w:rPr>
            </w:r>
            <w:r>
              <w:rPr>
                <w:sz w:val="17"/>
              </w:rPr>
              <w:t>Tokeny (Series A, 2025)</w:t>
            </w:r>
          </w:p>
        </w:tc>
        <w:tc>
          <w:tcPr>
            <w:tcW w:type="dxa" w:w="2880"/>
          </w:tcPr>
          <w:p>
            <w:r>
              <w:rPr>
                <w:sz w:val="17"/>
              </w:rPr>
            </w:r>
            <w:r>
              <w:rPr>
                <w:sz w:val="17"/>
              </w:rPr>
              <w:t>Luxembourg</w:t>
            </w:r>
          </w:p>
        </w:tc>
        <w:tc>
          <w:tcPr>
            <w:tcW w:type="dxa" w:w="2880"/>
          </w:tcPr>
          <w:p>
            <w:r>
              <w:rPr>
                <w:sz w:val="17"/>
              </w:rPr>
            </w:r>
            <w:r>
              <w:rPr>
                <w:sz w:val="17"/>
              </w:rPr>
              <w:t>60</w:t>
            </w:r>
          </w:p>
        </w:tc>
      </w:tr>
      <w:tr>
        <w:tc>
          <w:tcPr>
            <w:tcW w:type="dxa" w:w="2880"/>
          </w:tcPr>
          <w:p>
            <w:r>
              <w:rPr>
                <w:sz w:val="17"/>
              </w:rPr>
            </w:r>
            <w:r>
              <w:rPr>
                <w:sz w:val="17"/>
              </w:rPr>
              <w:t>Polymath (Series A, 2025)</w:t>
            </w:r>
          </w:p>
        </w:tc>
        <w:tc>
          <w:tcPr>
            <w:tcW w:type="dxa" w:w="2880"/>
          </w:tcPr>
          <w:p>
            <w:r>
              <w:rPr>
                <w:sz w:val="17"/>
              </w:rPr>
            </w:r>
            <w:r>
              <w:rPr>
                <w:sz w:val="17"/>
              </w:rPr>
              <w:t>Canada / Barbados</w:t>
            </w:r>
          </w:p>
        </w:tc>
        <w:tc>
          <w:tcPr>
            <w:tcW w:type="dxa" w:w="2880"/>
          </w:tcPr>
          <w:p>
            <w:r>
              <w:rPr>
                <w:sz w:val="17"/>
              </w:rPr>
            </w:r>
            <w:r>
              <w:rPr>
                <w:sz w:val="17"/>
              </w:rPr>
              <w:t>75</w:t>
            </w:r>
          </w:p>
        </w:tc>
      </w:tr>
      <w:tr>
        <w:tc>
          <w:tcPr>
            <w:tcW w:type="dxa" w:w="2880"/>
          </w:tcPr>
          <w:p>
            <w:r>
              <w:rPr>
                <w:sz w:val="17"/>
              </w:rPr>
            </w:r>
            <w:r>
              <w:rPr>
                <w:sz w:val="17"/>
              </w:rPr>
              <w:t>HQLAx (Series B, 2026)</w:t>
            </w:r>
          </w:p>
        </w:tc>
        <w:tc>
          <w:tcPr>
            <w:tcW w:type="dxa" w:w="2880"/>
          </w:tcPr>
          <w:p>
            <w:r>
              <w:rPr>
                <w:sz w:val="17"/>
              </w:rPr>
            </w:r>
            <w:r>
              <w:rPr>
                <w:sz w:val="17"/>
              </w:rPr>
              <w:t>Switzerland</w:t>
            </w:r>
          </w:p>
        </w:tc>
        <w:tc>
          <w:tcPr>
            <w:tcW w:type="dxa" w:w="2880"/>
          </w:tcPr>
          <w:p>
            <w:r>
              <w:rPr>
                <w:sz w:val="17"/>
              </w:rPr>
            </w:r>
            <w:r>
              <w:rPr>
                <w:sz w:val="17"/>
              </w:rPr>
              <w:t>180</w:t>
            </w:r>
          </w:p>
        </w:tc>
      </w:tr>
      <w:tr>
        <w:tc>
          <w:tcPr>
            <w:tcW w:type="dxa" w:w="2880"/>
          </w:tcPr>
          <w:p>
            <w:r>
              <w:rPr>
                <w:sz w:val="17"/>
              </w:rPr>
            </w:r>
            <w:r>
              <w:rPr>
                <w:sz w:val="17"/>
              </w:rPr>
              <w:t>Atomyze</w:t>
            </w:r>
          </w:p>
        </w:tc>
        <w:tc>
          <w:tcPr>
            <w:tcW w:type="dxa" w:w="2880"/>
          </w:tcPr>
          <w:p>
            <w:r>
              <w:rPr>
                <w:sz w:val="17"/>
              </w:rPr>
            </w:r>
            <w:r>
              <w:rPr>
                <w:sz w:val="17"/>
              </w:rPr>
              <w:t>Russia</w:t>
            </w:r>
          </w:p>
        </w:tc>
        <w:tc>
          <w:tcPr>
            <w:tcW w:type="dxa" w:w="2880"/>
          </w:tcPr>
          <w:p>
            <w:r>
              <w:rPr>
                <w:sz w:val="17"/>
              </w:rPr>
            </w:r>
            <w:r>
              <w:rPr>
                <w:sz w:val="17"/>
              </w:rPr>
              <w:t>~85</w:t>
            </w:r>
          </w:p>
        </w:tc>
      </w:tr>
      <w:tr>
        <w:tc>
          <w:tcPr>
            <w:tcW w:type="dxa" w:w="2880"/>
          </w:tcPr>
          <w:p>
            <w:r>
              <w:rPr>
                <w:sz w:val="17"/>
              </w:rPr>
            </w:r>
            <w:r>
              <w:rPr>
                <w:b/>
                <w:sz w:val="17"/>
              </w:rPr>
              <w:t>Calculated entry value, CPFSR</w:t>
            </w:r>
          </w:p>
        </w:tc>
        <w:tc>
          <w:tcPr>
            <w:tcW w:type="dxa" w:w="2880"/>
          </w:tcPr>
          <w:p>
            <w:r>
              <w:rPr>
                <w:sz w:val="17"/>
              </w:rPr>
            </w:r>
            <w:r>
              <w:rPr>
                <w:sz w:val="17"/>
              </w:rPr>
              <w:t>Russia</w:t>
            </w:r>
          </w:p>
        </w:tc>
        <w:tc>
          <w:tcPr>
            <w:tcW w:type="dxa" w:w="2880"/>
          </w:tcPr>
          <w:p>
            <w:r>
              <w:rPr>
                <w:sz w:val="17"/>
              </w:rPr>
            </w:r>
            <w:r>
              <w:rPr>
                <w:b/>
                <w:sz w:val="17"/>
              </w:rPr>
              <w:t>248</w:t>
            </w:r>
          </w:p>
        </w:tc>
      </w:tr>
    </w:tbl>
    <w:p/>
    <w:p>
      <w:pPr>
        <w:jc w:val="both"/>
      </w:pPr>
      <w:r>
        <w:t>The calculated figure is above comparable Series A deals for asset-tokenisation platforms. The comparables support the lower part of the calculated range (USD 164M) rather than its base point; the gap is explained by the scale of the collateral base built into the income approach and is not confirmed by any completed transaction on the project.</w:t>
      </w:r>
    </w:p>
    <w:p>
      <w:pPr>
        <w:pStyle w:val="Heading2"/>
      </w:pPr>
      <w:r>
        <w:t>10. What changed after the recalculation</w:t>
      </w:r>
    </w:p>
    <w:p>
      <w:pPr>
        <w:pStyle w:val="ListBullet"/>
      </w:pPr>
      <w:r>
        <w:t>The macro parameters match Bank of Russia data (key rate 14.0%, FX 71.55) and are</w:t>
      </w:r>
    </w:p>
    <w:p>
      <w:pPr>
        <w:jc w:val="both"/>
      </w:pPr>
      <w:r>
        <w:t>reproducible by an independent analyst.</w:t>
      </w:r>
    </w:p>
    <w:p>
      <w:pPr>
        <w:pStyle w:val="ListBullet"/>
      </w:pPr>
      <w:r>
        <w:t>The country premium is no longer counted twice in the discount rate; the 29.58% rate is</w:t>
      </w:r>
    </w:p>
    <w:p>
      <w:pPr>
        <w:jc w:val="both"/>
      </w:pPr>
      <w:r>
        <w:t>built up step by step.</w:t>
      </w:r>
    </w:p>
    <w:p>
      <w:pPr>
        <w:pStyle w:val="ListBullet"/>
      </w:pPr>
      <w:r>
        <w:t>The EBITDA curve is derived from cost lines: the terminal-year margin is 75.1% (previous</w:t>
      </w:r>
    </w:p>
    <w:p>
      <w:pPr>
        <w:jc w:val="both"/>
      </w:pPr>
      <w:r>
        <w:t>editions declared 96.9%).</w:t>
      </w:r>
    </w:p>
    <w:p>
      <w:pPr>
        <w:pStyle w:val="ListBullet"/>
      </w:pPr>
      <w:r>
        <w:t>The terminal value is computed by a single method (Gordon, g = 4%); its share of enterprise</w:t>
      </w:r>
    </w:p>
    <w:p>
      <w:pPr>
        <w:jc w:val="both"/>
      </w:pPr>
      <w:r>
        <w:t>value is 38%.</w:t>
      </w:r>
    </w:p>
    <w:p>
      <w:pPr>
        <w:pStyle w:val="ListBullet"/>
      </w:pPr>
      <w:r>
        <w:t>The investor multiple is 18.4x on an exit in 2033, with an investor IRR of 51.6%. The project</w:t>
      </w:r>
    </w:p>
    <w:p>
      <w:pPr>
        <w:jc w:val="both"/>
      </w:pPr>
      <w:r>
        <w:t>internal rate of return (182%) is not quoted in negotiations: it reflects the model's incompleteness on the cost of entering the market.</w:t>
      </w:r>
    </w:p>
    <w:p>
      <w:pPr>
        <w:pStyle w:val="ListBullet"/>
      </w:pPr>
      <w:r>
        <w:t>The simulation (2,000 iterations, fixed seed), the tornado chart, the cash-cushion stress</w:t>
      </w:r>
    </w:p>
    <w:p>
      <w:pPr>
        <w:jc w:val="both"/>
      </w:pPr>
      <w:r>
        <w:t>test and the launch-delay analysis are computed programmatically.</w:t>
      </w:r>
    </w:p>
    <w:p>
      <w:pPr>
        <w:pStyle w:val="ListBullet"/>
      </w:pPr>
      <w:r>
        <w:t>The stage discount is applied once.</w:t>
      </w:r>
    </w:p>
    <w:p>
      <w:pPr>
        <w:pStyle w:val="ListBullet"/>
      </w:pPr>
      <w:r>
        <w:t>Every figure is derived from a single set of assumptions</w:t>
      </w:r>
    </w:p>
    <w:p>
      <w:pPr>
        <w:jc w:val="both"/>
      </w:pPr>
      <w:r>
        <w:t>(</w:t>
      </w:r>
      <w:r>
        <w:rPr>
          <w:rFonts w:ascii="Consolas" w:hAnsi="Consolas"/>
          <w:sz w:val="18"/>
        </w:rPr>
        <w:t>03_Финансовая_модель/Модель/assumptions.json</w:t>
      </w:r>
      <w:r>
        <w:t>) and reconciled automatically.</w:t>
      </w:r>
    </w:p>
    <w:p>
      <w:pPr>
        <w:jc w:val="both"/>
      </w:pPr>
      <w:r>
        <w:t>Readiness of the valuation for review by an independent analyst: the calculation is reproducible, and the underlying assumptions and exports are open.</w:t>
      </w:r>
    </w:p>
    <w:p>
      <w:pPr>
        <w:pStyle w:val="Heading2"/>
      </w:pPr>
      <w:r>
        <w:t>11. Limitations and caveats</w:t>
      </w:r>
    </w:p>
    <w:p>
      <w:pPr>
        <w:pStyle w:val="ListNumber"/>
      </w:pPr>
      <w:r>
        <w:rPr>
          <w:b/>
        </w:rPr>
        <w:t>IVS 2025 standard</w:t>
      </w:r>
      <w:r>
        <w:t>: the valuation applies the approaches of IVS 105–106.</w:t>
      </w:r>
    </w:p>
    <w:p>
      <w:pPr>
        <w:pStyle w:val="ListNumber"/>
      </w:pPr>
      <w:r>
        <w:rPr>
          <w:b/>
        </w:rPr>
        <w:t>Date of calculation</w:t>
      </w:r>
      <w:r>
        <w:t>: 07.09.2026 (figures v5). The exchange rate and the OFZ yield are</w:t>
      </w:r>
    </w:p>
    <w:p>
      <w:pPr>
        <w:jc w:val="both"/>
      </w:pPr>
      <w:r>
        <w:t>fixed at the end of May 2026 and must be refreshed before going to an investor. The entry value is subject to review if the key rate moves by more than 200 bps, the exchange rate by more than 10%, or the regulatory regime changes.</w:t>
      </w:r>
    </w:p>
    <w:p>
      <w:pPr>
        <w:pStyle w:val="ListNumber"/>
      </w:pPr>
      <w:r>
        <w:rPr>
          <w:b/>
        </w:rPr>
        <w:t>Regulatory dependency</w:t>
      </w:r>
      <w:r>
        <w:t>: the binary factor of adoption of the legislative package</w:t>
      </w:r>
    </w:p>
    <w:p>
      <w:pPr>
        <w:jc w:val="both"/>
      </w:pPr>
      <w:r>
        <w:t>(horizon T+36 to T+60 months) may shift the calculated figure by a multiple (from x0.15 to x1.5).</w:t>
      </w:r>
    </w:p>
    <w:p>
      <w:pPr>
        <w:pStyle w:val="ListNumber"/>
      </w:pPr>
      <w:r>
        <w:rPr>
          <w:b/>
        </w:rPr>
        <w:t>Independence of the appraiser</w:t>
      </w:r>
      <w:r>
        <w:t>: the document is prepared as part of the project pack and</w:t>
      </w:r>
    </w:p>
    <w:p>
      <w:pPr>
        <w:jc w:val="both"/>
      </w:pPr>
      <w:r>
        <w:t>is not an independent valuation report under 135-FZ. An official valuation requires an independent appraiser who is a member of a self-regulatory organisation.</w:t>
      </w:r>
    </w:p>
    <w:p>
      <w:pPr>
        <w:pStyle w:val="ListNumber"/>
      </w:pPr>
      <w:r>
        <w:rPr>
          <w:b/>
        </w:rPr>
        <w:t>Demand is unverified</w:t>
      </w:r>
      <w:r>
        <w:t>: there is no signed letter of intent with any bank or insurer; the</w:t>
      </w:r>
    </w:p>
    <w:p>
      <w:pPr>
        <w:jc w:val="both"/>
      </w:pPr>
      <w:r>
        <w:t>market share is an assumption.</w:t>
      </w:r>
    </w:p>
    <w:p>
      <w:pPr>
        <w:pStyle w:val="ListNumber"/>
      </w:pPr>
      <w:r>
        <w:rPr>
          <w:b/>
        </w:rPr>
        <w:t>Wedge mode</w:t>
      </w:r>
      <w:r>
        <w:t>: the project has a valid pilot-light configuration under the current 259-FZ</w:t>
      </w:r>
    </w:p>
    <w:p>
      <w:pPr>
        <w:jc w:val="both"/>
      </w:pPr>
      <w:r>
        <w:t xml:space="preserve">(without amendments to 86-FZ) — see </w:t>
      </w:r>
      <w:r>
        <w:rPr>
          <w:rFonts w:ascii="Consolas" w:hAnsi="Consolas"/>
          <w:sz w:val="18"/>
        </w:rPr>
        <w:t>04_Бизнес-план/Wedge_pilot-light.md</w:t>
      </w:r>
      <w:r>
        <w:t>.</w:t>
      </w:r>
    </w:p>
    <w:p>
      <w:pPr>
        <w:pStyle w:val="Heading2"/>
      </w:pPr>
      <w:r>
        <w:t>12. Final conclusion</w:t>
      </w:r>
    </w:p>
    <w:p>
      <w:pPr>
        <w:jc w:val="both"/>
      </w:pPr>
      <w:r>
        <w:rPr>
          <w:b/>
        </w:rPr>
        <w:t>Calculated entry value of CPFSR at the "MVP + ready client side" stage (calculation of 07.09.2026):</w:t>
      </w:r>
    </w:p>
    <w:p>
      <w:pPr>
        <w:pStyle w:val="ListBullet"/>
      </w:pPr>
      <w:r>
        <w:rPr>
          <w:b/>
        </w:rPr>
        <w:t>Base figure:</w:t>
      </w:r>
      <w:r>
        <w:t xml:space="preserve"> USD 248M (approximately RUB 17.74 bn).</w:t>
      </w:r>
    </w:p>
    <w:p>
      <w:pPr>
        <w:pStyle w:val="ListBullet"/>
      </w:pPr>
      <w:r>
        <w:rPr>
          <w:b/>
        </w:rPr>
        <w:t>Range across scenarios:</w:t>
      </w:r>
      <w:r>
        <w:t xml:space="preserve"> USD 164–301M (RUB 11.74–21.56 bn).</w:t>
      </w:r>
    </w:p>
    <w:p>
      <w:pPr>
        <w:pStyle w:val="ListBullet"/>
      </w:pPr>
      <w:r>
        <w:rPr>
          <w:b/>
        </w:rPr>
        <w:t>Expected enterprise value across three scenarios:</w:t>
      </w:r>
      <w:r>
        <w:t xml:space="preserve"> RUB 64.7 bn.</w:t>
      </w:r>
    </w:p>
    <w:p>
      <w:pPr>
        <w:pStyle w:val="ListBullet"/>
      </w:pPr>
      <w:r>
        <w:rPr>
          <w:b/>
        </w:rPr>
        <w:t>Income approach (the upper point of the weighting):</w:t>
      </w:r>
      <w:r>
        <w:t xml:space="preserve"> USD 352M.</w:t>
      </w:r>
    </w:p>
    <w:p>
      <w:pPr>
        <w:jc w:val="both"/>
      </w:pPr>
      <w:r>
        <w:t xml:space="preserve">At a starter round of USD 25M (RUB 1.8 bn) the structure gives the investor </w:t>
      </w:r>
      <w:r>
        <w:rPr>
          <w:b/>
        </w:rPr>
        <w:t>9.21%</w:t>
      </w:r>
      <w:r>
        <w:t xml:space="preserve"> at a post-money of USD 273M (RUB 19.54 bn).</w:t>
      </w:r>
    </w:p>
    <w:p>
      <w:pPr>
        <w:ind w:left="360"/>
      </w:pPr>
      <w:r>
        <w:rPr>
          <w:i/>
          <w:color w:val="444444"/>
        </w:rPr>
        <w:t>This is a calculated figure, not a market price: there have been no transactions on the project, the spread between approaches is twelvefold, and the approaches intended for an early stage give USD 20–35M. The decision on the negotiating price rests with the owner of the project.</w:t>
      </w:r>
    </w:p>
    <w:p>
      <w:pPr>
        <w:jc w:val="both"/>
      </w:pPr>
      <w:r>
        <w:rPr>
          <w:b/>
        </w:rPr>
        <w:t>Project readiness level (TRL/IRL):</w:t>
      </w:r>
    </w:p>
    <w:p>
      <w:pPr>
        <w:pStyle w:val="ListBullet"/>
      </w:pPr>
      <w:r>
        <w:t>Concept, legal, financial, technical and design work — completed.</w:t>
      </w:r>
    </w:p>
    <w:p>
      <w:pPr>
        <w:pStyle w:val="ListBullet"/>
      </w:pPr>
      <w:r>
        <w:t>Wedge pilot-light under the existing 259-FZ — formalised.</w:t>
      </w:r>
    </w:p>
    <w:p>
      <w:pPr>
        <w:pStyle w:val="ListBullet"/>
      </w:pPr>
      <w:r>
        <w:t>Client mobile application PWA — ready for publication (Service Worker + offline.html + PNG icons 192/512/1024 + mipmap + screenshots + feature graphic).</w:t>
      </w:r>
    </w:p>
    <w:p>
      <w:pPr>
        <w:pStyle w:val="ListBullet"/>
      </w:pPr>
      <w:r>
        <w:t>GOST 19 design documentation (13 documents with correct numbering) — completed.</w:t>
      </w:r>
    </w:p>
    <w:p>
      <w:pPr>
        <w:pStyle w:val="ListBullet"/>
      </w:pPr>
      <w:r>
        <w:t>Platform builds (Android / iOS / Windows) — prepared.</w:t>
      </w:r>
    </w:p>
    <w:p>
      <w:pPr>
        <w:pStyle w:val="ListBullet"/>
      </w:pPr>
      <w:r>
        <w:t>RuStore publication pack — assembled; licensed-service advertising removed.</w:t>
      </w:r>
    </w:p>
    <w:p>
      <w:pPr>
        <w:pStyle w:val="ListBullet"/>
      </w:pPr>
      <w:r>
        <w:t>Server side — under development (12–18 months to industrial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