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Room INDEX — CPFSR</w:t>
      </w:r>
    </w:p>
    <w:p>
      <w:pPr>
        <w:jc w:val="both"/>
      </w:pPr>
      <w:r>
        <w:rPr>
          <w:b/>
        </w:rPr>
        <w:t>Engagement reference:</w:t>
      </w:r>
      <w:r>
        <w:t xml:space="preserve"> RSFSR-DR-2026 </w:t>
      </w:r>
      <w:r>
        <w:rPr>
          <w:b/>
        </w:rPr>
        <w:t>Date:</w:t>
      </w:r>
      <w:r>
        <w:t xml:space="preserve"> 24.05.2026 </w:t>
      </w:r>
      <w:r>
        <w:rPr>
          <w:b/>
        </w:rPr>
        <w:t>Structure:</w:t>
      </w:r>
      <w:r>
        <w:t xml:space="preserve"> Intralinks / Datasite / Firmex canon </w:t>
      </w:r>
      <w:r>
        <w:rPr>
          <w:b/>
        </w:rPr>
        <w:t>Permission tiers:</w:t>
      </w:r>
      <w:r>
        <w:t xml:space="preserve"> </w:t>
      </w:r>
      <w:r>
        <w:rPr>
          <w:rFonts w:ascii="Consolas" w:hAnsi="Consolas"/>
          <w:sz w:val="18"/>
        </w:rPr>
        <w:t>full</w:t>
      </w:r>
      <w:r>
        <w:t xml:space="preserve"> / </w:t>
      </w:r>
      <w:r>
        <w:rPr>
          <w:rFonts w:ascii="Consolas" w:hAnsi="Consolas"/>
          <w:sz w:val="18"/>
        </w:rPr>
        <w:t>restricted</w:t>
      </w:r>
      <w:r>
        <w:t xml:space="preserve"> / </w:t>
      </w:r>
      <w:r>
        <w:rPr>
          <w:rFonts w:ascii="Consolas" w:hAnsi="Consolas"/>
          <w:sz w:val="18"/>
        </w:rPr>
        <w:t>Q&amp;A-only</w:t>
      </w:r>
      <w:r>
        <w:t xml:space="preserve"> / </w:t>
      </w:r>
      <w:r>
        <w:rPr>
          <w:rFonts w:ascii="Consolas" w:hAnsi="Consolas"/>
          <w:sz w:val="18"/>
        </w:rPr>
        <w:t>no-access</w:t>
      </w:r>
    </w:p>
    <w:p>
      <w:pPr>
        <w:pStyle w:val="Heading2"/>
      </w:pPr>
      <w:r>
        <w:t>01_Corporate — Corporate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 registration certificate of the legal entity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After incorporation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Articles of association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After incorporation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Shareholders Agreement (SHA)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month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Shareholders register (CapTable)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Minutes of Board and General Meetings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Author's biography (A.-Kh. A. Kagirov)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External source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Authorship deposit certificate No. 4011265 of 19.12.2024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ireg.pro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GOST R 34.11-2012 hash of the concept paper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Compliance Matrix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16_Governance_и_Compliance/Compliance_Matrix.md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</w:tbl>
    <w:p/>
    <w:p>
      <w:pPr>
        <w:pStyle w:val="Heading2"/>
      </w:pPr>
      <w:r>
        <w:t>02_Financials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Financial model (10 years + Gordon terminal value)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Assumptions and calculations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Unified metrics (Source of Truth v3)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_Мастер/Единые_показатели_v2.md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Interactive financial-model calculator (HTML)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_shared/finmodel.js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International valuation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11_Оценка/Международная_оценка_проекта.md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Scenarios and simulation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</w:t>
            </w:r>
            <w:r>
              <w:rPr>
                <w:sz w:val="17"/>
              </w:rPr>
              <w:t xml:space="preserve"> (Sensitivity section)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Cash-runway stress test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  <w:r>
              <w:rPr>
                <w:sz w:val="17"/>
              </w:rPr>
              <w:t xml:space="preserve"> § Cash-runway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Use of Funds — Stage 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07_Презентации/Для_партнёров_инвесторов/Pitch_deck.html</w:t>
            </w:r>
            <w:r>
              <w:rPr>
                <w:sz w:val="17"/>
              </w:rPr>
              <w:t xml:space="preserve"> slide 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Bridge financing schedule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 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DD on the financial model (post Big-4)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months</w:t>
            </w:r>
          </w:p>
        </w:tc>
      </w:tr>
    </w:tbl>
    <w:p/>
    <w:p>
      <w:pPr>
        <w:pStyle w:val="Heading2"/>
      </w:pPr>
      <w:r>
        <w:t>03_Tax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Tax Code provisions (sub-para 12.2 of Art. 149; Art. 34.2; IT preferential regime)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Tax DD from a Big-4 firm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Stage 1 / Stage 2 structuring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1-bis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FATCA / CRS compliance (in case of international LPs)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Tax return (post-launch)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months</w:t>
            </w:r>
          </w:p>
        </w:tc>
      </w:tr>
    </w:tbl>
    <w:p/>
    <w:p>
      <w:pPr>
        <w:pStyle w:val="Heading2"/>
      </w:pPr>
      <w:r>
        <w:t>04_Legal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framework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02_Юридический_фундамент/Юридический_фундамент_ЦП_РСФСР.md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 pack (5 contracts)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02_Юридический_фундамент/Договорный_пакет/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 briefs (4 LoI/MoU drafts)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Opinion (from a tier-1 firm)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T+5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EULA / Privacy Policy / Terms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09_Мобильное_приложение/Публикация_RuStore/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Trademark applications «CPFSR»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Software registration (Article 1262 CC)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Know-how regime documentation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NDA templates (mutual + one-way)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Litigation register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</w:tbl>
    <w:p/>
    <w:p>
      <w:pPr>
        <w:pStyle w:val="Heading2"/>
      </w:pPr>
      <w:r>
        <w:t>05_Commercial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 plan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04_Бизнес-план/Бизнес-план_ЦП_РСФСР.md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DD report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12_DD_аудит/DD_отчёт.md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Champion map (Government Champions)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 Study from a tier-1 firm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LoI/MoU register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Customer pipeline (post-launch)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Pricing strategy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  <w:r>
              <w:rPr>
                <w:sz w:val="17"/>
              </w:rPr>
              <w:t xml:space="preserve">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</w:tbl>
    <w:p/>
    <w:p>
      <w:pPr>
        <w:pStyle w:val="Heading2"/>
      </w:pPr>
      <w:r>
        <w:t>06_Operations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Development 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01_Техническая_документация/07_Дорожная_карта_разработки.md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C4 architectural diagrams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01_Техническая_документация/08_Архитектурные_диаграммы.md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 and Critical-Information-Infrastructure regime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01_Техническая_документация/05_Безопасность_и_КИИ.md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DLT register of DFA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01_Техническая_документация/06_DLT_реестр_ЦФА.md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Integrations with state information systems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01_Техническая_документация/04_Интеграции_с_ГИС.md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Mobile-application specification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09_Мобильное_приложение/Спецификация_мобильного_приложения.md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Design documentation per GOST 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09_Мобильное_приложение/Конструкторская_документация/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Incident-response plan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BCP / DRP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</w:tbl>
    <w:p/>
    <w:p>
      <w:pPr>
        <w:pStyle w:val="Heading2"/>
      </w:pPr>
      <w:r>
        <w:t>07_IT_IP — IT infrastructure and intellectual property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Software architecture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01_Техническая_документация/01_Концепция_архитектуры.md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Tech-stack inventory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month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Open-source licences register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Code-repository access (read-only)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Post Series 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FSTEC CII-1 certification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SOC 2 Type II report (after observation period)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ISO 27001:2022 certificate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T+14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Penetration-testing report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IP portfolio (trademarks, software regs, know-how deposits)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 (partially)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agreements (cloud / SaaS / consulting)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</w:tbl>
    <w:p/>
    <w:p>
      <w:pPr>
        <w:pStyle w:val="Heading2"/>
      </w:pPr>
      <w:r>
        <w:t>08_HR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Employment agreement template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Non-compete / non-solicit clauses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Team organisation chart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month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ESOP (Employee Stock Option Plan)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Compensation benchmarks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Background checks for key hires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DEI policy (Diversity, Equity, Inclusion)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</w:tbl>
    <w:p/>
    <w:p>
      <w:pPr>
        <w:pStyle w:val="Heading2"/>
      </w:pPr>
      <w:r>
        <w:t>09_ESG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ESG Policy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  <w:r>
              <w:rPr>
                <w:sz w:val="17"/>
              </w:rPr>
              <w:t xml:space="preserve"> § 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Carbon footprint inventory (Scope 1 + 2)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SASB Standards reporting (first annual)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TCFD disclosure (first annual)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Modern Slavery Statement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Anti-Bribery Policy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Whistleblower-channel data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 (post-launch)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UN SDG alignment statement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 § 5.3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Ready</w:t>
            </w:r>
          </w:p>
        </w:tc>
      </w:tr>
    </w:tbl>
    <w:p/>
    <w:p>
      <w:pPr>
        <w:pStyle w:val="Heading2"/>
      </w:pPr>
      <w:r>
        <w:t>10_Insurance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D&amp;O insurance policy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Professional indemnity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Cyber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E&amp;O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months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Business-interruption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months</w:t>
            </w:r>
          </w:p>
        </w:tc>
      </w:tr>
    </w:tbl>
    <w:p/>
    <w:p>
      <w:pPr>
        <w:pStyle w:val="Heading2"/>
      </w:pPr>
      <w:r>
        <w:t>Access Control &amp; Permissions</w:t>
      </w:r>
    </w:p>
    <w:p>
      <w:pPr>
        <w:jc w:val="both"/>
      </w:pPr>
      <w:r>
        <w:rPr>
          <w:b/>
        </w:rPr>
        <w:t>Permission tiers:</w:t>
      </w:r>
    </w:p>
    <w:p>
      <w:pPr>
        <w:pStyle w:val="ListBullet"/>
      </w:pPr>
      <w:r>
        <w:rPr>
          <w:b/>
        </w:rPr>
        <w:t>`full`</w:t>
      </w:r>
      <w:r>
        <w:t xml:space="preserve"> — all potential investors after signed NDA</w:t>
      </w:r>
    </w:p>
    <w:p>
      <w:pPr>
        <w:pStyle w:val="ListBullet"/>
      </w:pPr>
      <w:r>
        <w:rPr>
          <w:b/>
        </w:rPr>
        <w:t>`restricted`</w:t>
      </w:r>
      <w:r>
        <w:t xml:space="preserve"> — only qualified investors (LP / GP) after Engagement Letter</w:t>
      </w:r>
    </w:p>
    <w:p>
      <w:pPr>
        <w:pStyle w:val="ListBullet"/>
      </w:pPr>
      <w:r>
        <w:rPr>
          <w:b/>
        </w:rPr>
        <w:t>`restricted (high)`</w:t>
      </w:r>
      <w:r>
        <w:t xml:space="preserve"> — only Big-4 vendor-DD team + tier-1 legal-opinion firm + Series A lead</w:t>
      </w:r>
    </w:p>
    <w:p>
      <w:pPr>
        <w:pStyle w:val="ListBullet"/>
      </w:pPr>
      <w:r>
        <w:rPr>
          <w:b/>
        </w:rPr>
        <w:t>`Q&amp;A-only`</w:t>
      </w:r>
      <w:r>
        <w:t xml:space="preserve"> — the document is not handed over; answers to questions are provided through the formal Q&amp;A channel</w:t>
      </w:r>
    </w:p>
    <w:p>
      <w:pPr>
        <w:pStyle w:val="ListBullet"/>
      </w:pPr>
      <w:r>
        <w:rPr>
          <w:b/>
        </w:rPr>
        <w:t>`no-access`</w:t>
      </w:r>
      <w:r>
        <w:t xml:space="preserve"> — internal only</w:t>
      </w:r>
    </w:p>
    <w:p>
      <w:pPr>
        <w:pStyle w:val="Heading2"/>
      </w:pPr>
      <w:r>
        <w:t>Disclosure Letter Template</w:t>
      </w:r>
    </w:p>
    <w:p>
      <w:pPr>
        <w:jc w:val="both"/>
      </w:pPr>
      <w:r>
        <w:t xml:space="preserve">The Disclosure Letter is delivered together with the SPA / SHA project and explicitly discloses all material exceptions from the standard warranties. The template is located in </w:t>
      </w:r>
      <w:r>
        <w:rPr>
          <w:rFonts w:ascii="Consolas" w:hAnsi="Consolas"/>
          <w:sz w:val="18"/>
        </w:rPr>
        <w:t>01_Corporate/Disclosure_Letter_template.md</w:t>
      </w:r>
      <w:r>
        <w:t xml:space="preserve"> (to be prepared at T+1 month together with the SHA).</w:t>
      </w:r>
    </w:p>
    <w:p>
      <w:pPr>
        <w:pStyle w:val="Heading2"/>
      </w:pPr>
      <w:r>
        <w:t>VDR Tool Selection (for production)</w:t>
      </w:r>
    </w:p>
    <w:p>
      <w:pPr>
        <w:jc w:val="both"/>
      </w:pPr>
      <w:r>
        <w:t>For the current round we recommend one of:</w:t>
      </w:r>
    </w:p>
    <w:p>
      <w:pPr>
        <w:pStyle w:val="ListBullet"/>
      </w:pPr>
      <w:r>
        <w:rPr>
          <w:b/>
        </w:rPr>
        <w:t>Intralinks</w:t>
      </w:r>
      <w:r>
        <w:t xml:space="preserve"> (industry standard, used by the Big Four)</w:t>
      </w:r>
    </w:p>
    <w:p>
      <w:pPr>
        <w:pStyle w:val="ListBullet"/>
      </w:pPr>
      <w:r>
        <w:rPr>
          <w:b/>
        </w:rPr>
        <w:t>Datasite</w:t>
      </w:r>
      <w:r>
        <w:t xml:space="preserve"> (formerly Merrill Datasite)</w:t>
      </w:r>
    </w:p>
    <w:p>
      <w:pPr>
        <w:pStyle w:val="ListBullet"/>
      </w:pPr>
      <w:r>
        <w:rPr>
          <w:b/>
        </w:rPr>
        <w:t>Firmex</w:t>
      </w:r>
      <w:r>
        <w:t xml:space="preserve"> (mid-market, good UX)</w:t>
      </w:r>
    </w:p>
    <w:p>
      <w:pPr>
        <w:pStyle w:val="ListBullet"/>
      </w:pPr>
      <w:r>
        <w:rPr>
          <w:b/>
        </w:rPr>
        <w:t>iDeals</w:t>
      </w:r>
      <w:r>
        <w:t xml:space="preserve"> (cost-effective)</w:t>
      </w:r>
    </w:p>
    <w:p>
      <w:pPr>
        <w:jc w:val="both"/>
      </w:pPr>
      <w:r>
        <w:t xml:space="preserve">Self-hosted alternatives for post Series A rounds: </w:t>
      </w:r>
      <w:r>
        <w:rPr>
          <w:b/>
        </w:rPr>
        <w:t>Cylynx VDR</w:t>
      </w:r>
      <w:r>
        <w:t xml:space="preserve">, </w:t>
      </w:r>
      <w:r>
        <w:rPr>
          <w:b/>
        </w:rPr>
        <w:t>Onehub</w:t>
      </w:r>
      <w:r>
        <w:t xml:space="preserve">, </w:t>
      </w:r>
      <w:r>
        <w:rPr>
          <w:b/>
        </w:rPr>
        <w:t>SecureDocs</w:t>
      </w:r>
      <w:r>
        <w:t>.</w:t>
      </w:r>
    </w:p>
    <w:p>
      <w:pPr>
        <w:pStyle w:val="Heading2"/>
      </w:pPr>
      <w:r>
        <w:t>Q&amp;A Process</w:t>
      </w:r>
    </w:p>
    <w:p>
      <w:pPr>
        <w:pStyle w:val="ListBullet"/>
      </w:pPr>
      <w:r>
        <w:t>Q&amp;A only via the VDR Q&amp;A tool (no email channel).</w:t>
      </w:r>
    </w:p>
    <w:p>
      <w:pPr>
        <w:pStyle w:val="ListBullet"/>
      </w:pPr>
      <w:r>
        <w:t>All questions are logged.</w:t>
      </w:r>
    </w:p>
    <w:p>
      <w:pPr>
        <w:pStyle w:val="ListBullet"/>
      </w:pPr>
      <w:r>
        <w:t>Answers within ≤ 48 h of receiving the question.</w:t>
      </w:r>
    </w:p>
    <w:p>
      <w:pPr>
        <w:pStyle w:val="ListBullet"/>
      </w:pPr>
      <w:r>
        <w:t>Q&amp;A is managed by the Compliance Officer + General Counsel + relevant subject-matter expert.</w:t>
      </w:r>
    </w:p>
    <w:p>
      <w:pPr>
        <w:pStyle w:val="ListBullet"/>
      </w:pPr>
      <w:r>
        <w:t>A daily Q&amp;A digest is sent to all active interest parties.</w:t>
      </w:r>
    </w:p>
    <w:p>
      <w:pPr>
        <w:pStyle w:val="Heading2"/>
      </w:pPr>
      <w:r>
        <w:t>Audit Trail</w:t>
      </w:r>
    </w:p>
    <w:p>
      <w:pPr>
        <w:jc w:val="both"/>
      </w:pPr>
      <w:r>
        <w:t>The VDR tool automatically logs:</w:t>
      </w:r>
    </w:p>
    <w:p>
      <w:pPr>
        <w:pStyle w:val="ListBullet"/>
      </w:pPr>
      <w:r>
        <w:t>Who opened the document</w:t>
      </w:r>
    </w:p>
    <w:p>
      <w:pPr>
        <w:pStyle w:val="ListBullet"/>
      </w:pPr>
      <w:r>
        <w:t>How long it was viewed</w:t>
      </w:r>
    </w:p>
    <w:p>
      <w:pPr>
        <w:pStyle w:val="ListBullet"/>
      </w:pPr>
      <w:r>
        <w:t xml:space="preserve">Whether it was downloaded (for tier </w:t>
      </w:r>
      <w:r>
        <w:rPr>
          <w:rFonts w:ascii="Consolas" w:hAnsi="Consolas"/>
          <w:sz w:val="18"/>
        </w:rPr>
        <w:t>restricted (high)</w:t>
      </w:r>
      <w:r>
        <w:t xml:space="preserve"> — downloading is disabled)</w:t>
      </w:r>
    </w:p>
    <w:p>
      <w:pPr>
        <w:pStyle w:val="ListBullet"/>
      </w:pPr>
      <w:r>
        <w:t>Screen captures (with watermarking)</w:t>
      </w:r>
    </w:p>
    <w:p>
      <w:pPr>
        <w:jc w:val="both"/>
      </w:pPr>
      <w:r>
        <w:t>Audit Trail review takes place quarterly within the Audit Committee.</w:t>
      </w:r>
    </w:p>
    <w:p>
      <w:pPr>
        <w:jc w:val="both"/>
      </w:pPr>
      <w:r>
        <w:rPr>
          <w:b/>
        </w:rPr>
        <w:t>Date:</w:t>
      </w:r>
      <w:r>
        <w:t xml:space="preserve"> 24.05.2026 </w:t>
      </w:r>
      <w:r>
        <w:rPr>
          <w:b/>
        </w:rPr>
        <w:t>Engagement reference:</w:t>
      </w:r>
      <w:r>
        <w:t xml:space="preserve"> RSFSR-DR-2026 </w:t>
      </w:r>
      <w:r>
        <w:rPr>
          <w:b/>
        </w:rPr>
        <w:t>Center Group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