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Constitution de la SA-opérateur et enregistrement réglementaire</w:t>
      </w:r>
    </w:p>
    <w:p>
      <w:pPr>
        <w:jc w:val="both"/>
      </w:pPr>
      <w:r>
        <w:rPr>
          <w:b/>
        </w:rPr>
        <w:t>Document :</w:t>
      </w:r>
      <w:r>
        <w:t xml:space="preserve"> projet de constitution de l'opérateur personne morale et plan d'enregistrement réglementaire parallèle. </w:t>
      </w:r>
      <w:r>
        <w:rPr>
          <w:b/>
        </w:rPr>
        <w:t>Objectif :</w:t>
      </w:r>
      <w:r>
        <w:t xml:space="preserve"> clôturer les drapeaux RED B5 (absence d'opérateur corporatif) et B6 (absence d'enregistrement auprès de Roskomnadzor) de l'audit consolidé du 24.05.2026. </w:t>
      </w:r>
      <w:r>
        <w:rPr>
          <w:b/>
        </w:rPr>
        <w:t>Auteur du concept et fondateur unique :</w:t>
      </w:r>
      <w:r>
        <w:t xml:space="preserve"> Abdul-Khakim Akhmadovitch Kagirov (certificat de dépôt n° 4011265 du 19.12.2024). </w:t>
      </w:r>
      <w:r>
        <w:rPr>
          <w:b/>
        </w:rPr>
        <w:t>Date :</w:t>
      </w:r>
      <w:r>
        <w:t xml:space="preserve"> 24.05.2026.</w:t>
      </w:r>
    </w:p>
    <w:p>
      <w:pPr>
        <w:pStyle w:val="Heading2"/>
      </w:pPr>
      <w:r>
        <w:t>1. Structure corporative</w:t>
      </w:r>
    </w:p>
    <w:p>
      <w:pPr>
        <w:pStyle w:val="Heading3"/>
      </w:pPr>
      <w:r>
        <w:t>1.1. Type de personne morale</w:t>
      </w:r>
    </w:p>
    <w:p>
      <w:pPr>
        <w:jc w:val="both"/>
      </w:pPr>
      <w:r>
        <w:rPr>
          <w:b/>
        </w:rPr>
        <w:t>SA « PN RSFSR » (société anonyme non publique, art. 7 de la loi fédérale n° 208-FZ du 26.12.1995 « sur les SA »).</w:t>
      </w:r>
    </w:p>
    <w:p>
      <w:pPr>
        <w:jc w:val="both"/>
      </w:pPr>
      <w:r>
        <w:t>Justification du choix de la forme :</w:t>
      </w:r>
    </w:p>
    <w:p>
      <w:pPr>
        <w:pStyle w:val="ListBullet"/>
      </w:pPr>
      <w:r>
        <w:t>Conforme à l'article 5 partie 1 de la loi 259-FZ (exigence à l'opérateur d'un SI d'AFN — SA non publique, SARL ou établissement de crédit).</w:t>
      </w:r>
    </w:p>
    <w:p>
      <w:pPr>
        <w:pStyle w:val="ListBullet"/>
      </w:pPr>
      <w:r>
        <w:t>Permet un travail ciblé avec les investisseurs via l'émission d'actions privilégiées.</w:t>
      </w:r>
    </w:p>
    <w:p>
      <w:pPr>
        <w:pStyle w:val="ListBullet"/>
      </w:pPr>
      <w:r>
        <w:t>Autorise la participation à des projets interministériels au niveau VEB.RF / Ministère du Développement économique.</w:t>
      </w:r>
    </w:p>
    <w:p>
      <w:pPr>
        <w:pStyle w:val="Heading3"/>
      </w:pPr>
      <w:r>
        <w:t>1.2. Capital social et fonds propres</w:t>
      </w:r>
    </w:p>
    <w:p>
      <w:pPr>
        <w:jc w:val="both"/>
      </w:pPr>
      <w:r>
        <w:rPr>
          <w:b/>
        </w:rPr>
        <w:t>Attention (différenciation juridique entre 208-FZ et la Directive BR 4336-U) :</w:t>
      </w:r>
      <w:r>
        <w:t xml:space="preserve"> le capital social (art. 25 de 208-FZ) et les fonds propres de l'opérateur SI d'AFN (Directive BR 4336-U en développement de 779-P) sont des catégories distinctes. Pour obtenir le statut d'opérateur SI d'AFN, sont simultanément exigés :</w:t>
      </w:r>
    </w:p>
    <w:p>
      <w:pPr>
        <w:pStyle w:val="ListBullet"/>
      </w:pPr>
      <w:r>
        <w:rPr>
          <w:b/>
        </w:rPr>
        <w:t>Capital social de la SA :</w:t>
      </w:r>
      <w:r>
        <w:t xml:space="preserve"> non inférieur à 100 000 ₽ (minimum selon l'art. 26 de 208-FZ pour une SA non publique). À la constitution sont prévues ≥ 10 000 000 ₽ d'actions ordinaires libérées.</w:t>
      </w:r>
    </w:p>
    <w:p>
      <w:pPr>
        <w:pStyle w:val="ListBullet"/>
      </w:pPr>
      <w:r>
        <w:rPr>
          <w:b/>
        </w:rPr>
        <w:t>Fonds propres (capital) ≥ 50 000 000 ₽</w:t>
      </w:r>
      <w:r>
        <w:t xml:space="preserve"> (exigence du point 1.2 de la Directive BR 4336-U). Formés à partir du capital social libéré, des primes d'émission, des bénéfices non distribués et d'autres sources selon la méthodologie BR. Confirmés par une opinion d'audit.</w:t>
      </w:r>
    </w:p>
    <w:p>
      <w:pPr>
        <w:jc w:val="both"/>
      </w:pPr>
      <w:r>
        <w:t>Structure au moment de la constitution :</w:t>
      </w:r>
    </w:p>
    <w:p>
      <w:pPr>
        <w:pStyle w:val="ListBullet"/>
      </w:pPr>
      <w:r>
        <w:t>100 % des actions ordinaires — chez le fondateur.</w:t>
      </w:r>
    </w:p>
    <w:p>
      <w:pPr>
        <w:pStyle w:val="ListBullet"/>
      </w:pPr>
      <w:r>
        <w:t>Un capital social ≥ 10 M ₽ + un apport en capital additionnel/primes d'émission après le tour Seed fournissent des fonds propres agrégés ≥ 50 M ₽ au moment du dépôt de la demande au registre des opérateurs SI d'AFN.</w:t>
      </w:r>
    </w:p>
    <w:p>
      <w:pPr>
        <w:pStyle w:val="ListBullet"/>
      </w:pPr>
      <w:r>
        <w:t>Aux tours suivants — émission d'actions privilégiées à droits spéciaux (protection contre la dilution du contrôle).</w:t>
      </w:r>
    </w:p>
    <w:p>
      <w:pPr>
        <w:pStyle w:val="Heading3"/>
      </w:pPr>
      <w:r>
        <w:t>1.3. Dirigeants (conformité à 779-P)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Exigence 779-P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Délai de nomination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Directeur général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Formation supérieure économique/juridique ; ≥ 3 ans d'expérience à des postes de direction dans le secteur financier ; correspondance qualifiante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 après constitution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Président du Conseil d'administration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Indépendant ; réputation confirmée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Responsable conformité (HOC)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 ICA / IRM / ACAMS ou équivalent ; ≥ 5 ans d'expérience LBC/KYC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Responsable sécurité de l'information (CISO)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Certificat FSTEC ; ≥ 5 ans d'expérience sur IIC-1 / UZ-1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Juriste en chef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Spécialisation en 259-FZ / 779-P / 152-FZ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officer en chef (CRO)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FRM / PRM ou équivalent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Auditeur interne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Membre d'une OAR d'auditeurs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Chef comptable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Conformité à l'art. 7 de la loi fédérale n° 402-FZ « sur la comptabilité », exigences de l'art. 11.1 de 86-FZ pour les dirigeants de l'infrastructure financière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</w:tbl>
    <w:p/>
    <w:p>
      <w:pPr>
        <w:pStyle w:val="Heading3"/>
      </w:pPr>
      <w:r>
        <w:t>1.4. Actes constitutifs</w:t>
      </w:r>
    </w:p>
    <w:p>
      <w:pPr>
        <w:jc w:val="both"/>
      </w:pPr>
      <w:r>
        <w:t>Dans le cadre de la constitution, le dossier suivant est préparé :</w:t>
      </w:r>
    </w:p>
    <w:p>
      <w:pPr>
        <w:pStyle w:val="ListNumber"/>
      </w:pPr>
      <w:r>
        <w:rPr>
          <w:b/>
        </w:rPr>
        <w:t>Statuts de la SA « PN RSFSR »</w:t>
      </w:r>
      <w:r>
        <w:t xml:space="preserve"> (sur la base de statuts types, avec des dispositions spéciales selon 779-P).</w:t>
      </w:r>
    </w:p>
    <w:p>
      <w:pPr>
        <w:pStyle w:val="ListNumber"/>
      </w:pPr>
      <w:r>
        <w:rPr>
          <w:b/>
        </w:rPr>
        <w:t>Décision du fondateur unique</w:t>
      </w:r>
      <w:r>
        <w:t xml:space="preserve"> sur la création de la SA.</w:t>
      </w:r>
    </w:p>
    <w:p>
      <w:pPr>
        <w:pStyle w:val="ListNumber"/>
      </w:pPr>
      <w:r>
        <w:rPr>
          <w:b/>
        </w:rPr>
        <w:t>Convention de constitution de la SA</w:t>
      </w:r>
      <w:r>
        <w:t>.</w:t>
      </w:r>
    </w:p>
    <w:p>
      <w:pPr>
        <w:pStyle w:val="ListNumber"/>
      </w:pPr>
      <w:r>
        <w:rPr>
          <w:b/>
        </w:rPr>
        <w:t>Demande d'enregistrement d'État</w:t>
      </w:r>
      <w:r>
        <w:t xml:space="preserve"> (formulaire Р11001) au Service fédéral des impôts.</w:t>
      </w:r>
    </w:p>
    <w:p>
      <w:pPr>
        <w:pStyle w:val="ListNumber"/>
      </w:pPr>
      <w:r>
        <w:rPr>
          <w:b/>
        </w:rPr>
        <w:t>Document de libération du capital social</w:t>
      </w:r>
      <w:r>
        <w:t xml:space="preserve"> (au moment de la constitution — au moins 50 % du capital social).</w:t>
      </w:r>
    </w:p>
    <w:p>
      <w:pPr>
        <w:jc w:val="both"/>
      </w:pPr>
      <w:r>
        <w:t xml:space="preserve">Préparation du dossier — </w:t>
      </w:r>
      <w:r>
        <w:rPr>
          <w:b/>
        </w:rPr>
        <w:t>T+0…T+2 mois</w:t>
      </w:r>
      <w:r>
        <w:t xml:space="preserve"> à compter de la décision de lancement.</w:t>
      </w:r>
    </w:p>
    <w:p>
      <w:pPr>
        <w:pStyle w:val="Heading3"/>
      </w:pPr>
      <w:r>
        <w:t>1.5. Structure de propriété (cible)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Étape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Fondateur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Investisseur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Capital d'État</w:t>
            </w:r>
          </w:p>
        </w:tc>
        <w:tc>
          <w:tcPr>
            <w:tcW w:type="dxa" w:w="172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Top management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Constitution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100 %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Après le tour de 1,8 Md ₽ (25 M $)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85,8 %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9,21 %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5,0 % (ESOP)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Après Série A (T+18 mois)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64 %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11 % (ESOP + nouveaux)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Après Série B avec capital d'État (T+36 mois)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48 %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25 %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15 %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  <w:r>
              <w:rPr>
                <w:sz w:val="17"/>
              </w:rPr>
              <w:t>12 %</w:t>
            </w:r>
          </w:p>
        </w:tc>
      </w:tr>
    </w:tbl>
    <w:p/>
    <w:p>
      <w:pPr>
        <w:pStyle w:val="Heading2"/>
      </w:pPr>
      <w:r>
        <w:t>2. Enregistrement aux registres réglementaires (en parallèle de la constitution)</w:t>
      </w:r>
    </w:p>
    <w:p>
      <w:pPr>
        <w:pStyle w:val="Heading3"/>
      </w:pPr>
      <w:r>
        <w:t>2.1. Enregistrement comme opérateur de données personnelles (art. 22 de 152-FZ)</w:t>
      </w:r>
    </w:p>
    <w:p>
      <w:pPr>
        <w:jc w:val="both"/>
      </w:pPr>
      <w:r>
        <w:rPr>
          <w:b/>
        </w:rPr>
        <w:t>Délai :</w:t>
      </w:r>
      <w:r>
        <w:t xml:space="preserve"> notification à Roskomnadzor — </w:t>
      </w:r>
      <w:r>
        <w:rPr>
          <w:b/>
        </w:rPr>
        <w:t>T+0,5 mois</w:t>
      </w:r>
      <w:r>
        <w:t xml:space="preserve"> (avant tout traitement de DP des utilisateurs dans l'application de démonstration).</w:t>
      </w:r>
    </w:p>
    <w:p>
      <w:pPr>
        <w:jc w:val="both"/>
      </w:pPr>
      <w:r>
        <w:rPr>
          <w:b/>
        </w:rPr>
        <w:t>Contenu de la notification :</w:t>
      </w:r>
    </w:p>
    <w:p>
      <w:pPr>
        <w:pStyle w:val="ListBullet"/>
      </w:pPr>
      <w:r>
        <w:t>Finalités du traitement des DP.</w:t>
      </w:r>
    </w:p>
    <w:p>
      <w:pPr>
        <w:pStyle w:val="ListBullet"/>
      </w:pPr>
      <w:r>
        <w:t>Catégories de DP (nom, INN, SNILS, biométrie selon 572-FZ, données de passeport).</w:t>
      </w:r>
    </w:p>
    <w:p>
      <w:pPr>
        <w:pStyle w:val="ListBullet"/>
      </w:pPr>
      <w:r>
        <w:t>Catégories de personnes concernées.</w:t>
      </w:r>
    </w:p>
    <w:p>
      <w:pPr>
        <w:pStyle w:val="ListBullet"/>
      </w:pPr>
      <w:r>
        <w:t>Liste des actions (collecte, enregistrement, systématisation, conservation, utilisation, transfert, suppression).</w:t>
      </w:r>
    </w:p>
    <w:p>
      <w:pPr>
        <w:pStyle w:val="ListBullet"/>
      </w:pPr>
      <w:r>
        <w:t>Description des mesures de protection (Décret gouv. n° 1119, arrêtés FSTEC n° 21 / FSB).</w:t>
      </w:r>
    </w:p>
    <w:p>
      <w:pPr>
        <w:pStyle w:val="ListBullet"/>
      </w:pPr>
      <w:r>
        <w:t>Informations sur les transferts transfrontaliers (absents).</w:t>
      </w:r>
    </w:p>
    <w:p>
      <w:pPr>
        <w:pStyle w:val="ListBullet"/>
      </w:pPr>
      <w:r>
        <w:t>Date de début du traitement.</w:t>
      </w:r>
    </w:p>
    <w:p>
      <w:pPr>
        <w:pStyle w:val="ListBullet"/>
      </w:pPr>
      <w:r>
        <w:t>Durée du traitement.</w:t>
      </w:r>
    </w:p>
    <w:p>
      <w:pPr>
        <w:jc w:val="both"/>
      </w:pPr>
      <w:r>
        <w:rPr>
          <w:b/>
        </w:rPr>
        <w:t>Statut au 24.05.2026 dans l'application de démonstration :</w:t>
      </w:r>
      <w:r>
        <w:t xml:space="preserve"> les DP réelles ne sont pas collectées ; la notification RKN est déposée concomitamment à l'enregistrement de la SA, afin d'écarter la composition de l'art. 13.11 du Code des infractions administratives.</w:t>
      </w:r>
    </w:p>
    <w:p>
      <w:pPr>
        <w:pStyle w:val="Heading3"/>
      </w:pPr>
      <w:r>
        <w:t>2.2. Enregistrement auprès de Rosfinmonitoring (115-FZ)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T+1 mois.</w:t>
      </w:r>
      <w:r>
        <w:t xml:space="preserve"> Nomination du responsable spécial LBC/FT ; élaboration des Règles de contrôle interne (PVK) ; enregistrement dans le compte personnel de Rosfinmonitoring.</w:t>
      </w:r>
    </w:p>
    <w:p>
      <w:pPr>
        <w:pStyle w:val="Heading3"/>
      </w:pPr>
      <w:r>
        <w:t>2.3. Demande au registre des opérateurs SI d'AFN (Banque de Russie, 779-P)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T+3…T+6 mois</w:t>
      </w:r>
      <w:r>
        <w:t xml:space="preserve"> après la constitution de la SA et la finalisation du dossier complet.</w:t>
      </w:r>
    </w:p>
    <w:p>
      <w:pPr>
        <w:jc w:val="both"/>
      </w:pPr>
      <w:r>
        <w:rPr>
          <w:b/>
        </w:rPr>
        <w:t>Contenu de la demande :</w:t>
      </w:r>
    </w:p>
    <w:p>
      <w:pPr>
        <w:pStyle w:val="ListBullet"/>
      </w:pPr>
      <w:r>
        <w:t>Actes constitutifs de la SA.</w:t>
      </w:r>
    </w:p>
    <w:p>
      <w:pPr>
        <w:pStyle w:val="ListBullet"/>
      </w:pPr>
      <w:r>
        <w:t>Informations sur les dirigeants (selon 779-P).</w:t>
      </w:r>
    </w:p>
    <w:p>
      <w:pPr>
        <w:pStyle w:val="ListBullet"/>
      </w:pPr>
      <w:r>
        <w:t>Règles SI (art. 6 de 259-FZ).</w:t>
      </w:r>
    </w:p>
    <w:p>
      <w:pPr>
        <w:pStyle w:val="ListBullet"/>
      </w:pPr>
      <w:r>
        <w:t>Description de l'infrastructure DLT (avec un fournisseur DLT précis : Masterchain / équivalent).</w:t>
      </w:r>
    </w:p>
    <w:p>
      <w:pPr>
        <w:pStyle w:val="ListBullet"/>
      </w:pPr>
      <w:r>
        <w:t>Mesures de protection selon GOST R 57580.1 niveau 4.</w:t>
      </w:r>
    </w:p>
    <w:p>
      <w:pPr>
        <w:pStyle w:val="ListBullet"/>
      </w:pPr>
      <w:r>
        <w:t>Conclusion FSTEC / FSB.</w:t>
      </w:r>
    </w:p>
    <w:p>
      <w:pPr>
        <w:pStyle w:val="ListBullet"/>
      </w:pPr>
      <w:r>
        <w:t>Conclusion d'un audit indépendant de sécurité de l'information.</w:t>
      </w:r>
    </w:p>
    <w:p>
      <w:pPr>
        <w:pStyle w:val="ListBullet"/>
      </w:pPr>
      <w:r>
        <w:t>Documents de conformité à 779-P (continuité d'activité, risques opérationnels 716-P, CIPF).</w:t>
      </w:r>
    </w:p>
    <w:p>
      <w:pPr>
        <w:pStyle w:val="ListBullet"/>
      </w:pPr>
      <w:r>
        <w:t xml:space="preserve">Plan d'affaires de l'opérateur (sur la base de </w:t>
      </w:r>
      <w:r>
        <w:rPr>
          <w:rFonts w:ascii="Consolas" w:hAnsi="Consolas"/>
          <w:sz w:val="18"/>
        </w:rPr>
        <w:t>04_Бизнес-план/Бизнес-план_ЦП_РСФСР.md</w:t>
      </w:r>
      <w:r>
        <w:t xml:space="preserve"> après refactorisation).</w:t>
      </w:r>
    </w:p>
    <w:p>
      <w:pPr>
        <w:pStyle w:val="ListBullet"/>
      </w:pPr>
      <w:r>
        <w:t xml:space="preserve">Modèle financier (sur la base de </w:t>
      </w:r>
      <w:r>
        <w:rPr>
          <w:rFonts w:ascii="Consolas" w:hAnsi="Consolas"/>
          <w:sz w:val="18"/>
        </w:rPr>
        <w:t>03_Финансовая_модель/Финансовая_модель_ЦП_РСФСР.md</w:t>
      </w:r>
      <w:r>
        <w:t xml:space="preserve"> après refactorisation).</w:t>
      </w:r>
    </w:p>
    <w:p>
      <w:pPr>
        <w:pStyle w:val="Heading3"/>
      </w:pPr>
      <w:r>
        <w:t>2.4. Catégorisation IIC (187-FZ, Décret gouv. n° 127)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T+6…T+12 mois</w:t>
      </w:r>
      <w:r>
        <w:t xml:space="preserve"> (après l'exploitation effective). Dépôt à la FSTEC d'une demande de catégorisation, catégorie attendue — </w:t>
      </w:r>
      <w:r>
        <w:rPr>
          <w:b/>
        </w:rPr>
        <w:t>1ère (objet IIC significatif)</w:t>
      </w:r>
      <w:r>
        <w:t>.</w:t>
      </w:r>
    </w:p>
    <w:p>
      <w:pPr>
        <w:pStyle w:val="Heading3"/>
      </w:pPr>
      <w:r>
        <w:t>2.5. Certification CIPF (FSB) et moyens de protection (FSTEC)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T+9…T+18 mois.</w:t>
      </w:r>
      <w:r>
        <w:t xml:space="preserve"> Obtention des certificats FSB pour les CIPF (CryptoPro / SignalCom / équivalent) et des certificats FSTEC pour les moyens de protection du périmètre.</w:t>
      </w:r>
    </w:p>
    <w:p>
      <w:pPr>
        <w:pStyle w:val="Heading3"/>
      </w:pPr>
      <w:r>
        <w:t>2.6. Demandes à Rospatent pour l'enregistrement de programmes d'ordinateur (art. 1262 du CC)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T+1…T+3 mois.</w:t>
      </w:r>
      <w:r>
        <w:t xml:space="preserve"> Enregistrement de quatre composants :</w:t>
      </w:r>
    </w:p>
    <w:p>
      <w:pPr>
        <w:pStyle w:val="ListNumber"/>
      </w:pPr>
      <w:r>
        <w:t>Application mobile (PWA + builds Capacitor).</w:t>
      </w:r>
    </w:p>
    <w:p>
      <w:pPr>
        <w:pStyle w:val="ListNumber"/>
      </w:pPr>
      <w:r>
        <w:t>Partie serveur (backend).</w:t>
      </w:r>
    </w:p>
    <w:p>
      <w:pPr>
        <w:pStyle w:val="ListNumber"/>
      </w:pPr>
      <w:r>
        <w:t>Nœud DLT de l'opérateur.</w:t>
      </w:r>
    </w:p>
    <w:p>
      <w:pPr>
        <w:pStyle w:val="ListNumber"/>
      </w:pPr>
      <w:r>
        <w:t>Module KYC.</w:t>
      </w:r>
    </w:p>
    <w:p>
      <w:pPr>
        <w:pStyle w:val="Heading3"/>
      </w:pPr>
      <w:r>
        <w:t>2.7. Demande de marque (art. 1477 du CC)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T+1 mois.</w:t>
      </w:r>
      <w:r>
        <w:t xml:space="preserve"> Demande d'enregistrement des signes verbaux « PN RSFSR » et « RSFSR » en classes de Nice 9 (logiciels), 36 (services financiers), 42 (services scientifiques et techniques).</w:t>
      </w:r>
    </w:p>
    <w:p>
      <w:pPr>
        <w:pStyle w:val="Heading3"/>
      </w:pPr>
      <w:r>
        <w:t>2.8. Requête au Ministère des Finances (art. 34.2 du CGI)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T+2 mois.</w:t>
      </w:r>
      <w:r>
        <w:t xml:space="preserve"> Demande écrite au Ministère des Finances pour obtenir la qualification fiscale officielle :</w:t>
      </w:r>
    </w:p>
    <w:p>
      <w:pPr>
        <w:pStyle w:val="ListBullet"/>
      </w:pPr>
      <w:r>
        <w:t>de l'échange de l'AFN initial contre un AFN d'infrastructure (art. 39 du CGI vs art. 282.2) ;</w:t>
      </w:r>
    </w:p>
    <w:p>
      <w:pPr>
        <w:pStyle w:val="ListBullet"/>
      </w:pPr>
      <w:r>
        <w:t>du statut de l'opérateur comme agent fiscal selon les art. 226.1 / 214.11 du CGI ;</w:t>
      </w:r>
    </w:p>
    <w:p>
      <w:pPr>
        <w:pStyle w:val="ListBullet"/>
      </w:pPr>
      <w:r>
        <w:t>du statut TVA des opérations sur AFN dans la nouvelle rédaction du sous-alinéa 12.2 du paragraphe 2 de l'art. 149 du CGI ;</w:t>
      </w:r>
    </w:p>
    <w:p>
      <w:pPr>
        <w:pStyle w:val="ListBullet"/>
      </w:pPr>
      <w:r>
        <w:t>du statut d'identification simplifiée des opérations selon la partie 1.4-2 de l'art. 7 de 115-FZ.</w:t>
      </w:r>
    </w:p>
    <w:p>
      <w:pPr>
        <w:pStyle w:val="Heading3"/>
      </w:pPr>
      <w:r>
        <w:t>2.9. Demande au Régime juridique expérimental (RJE) (258-FZ)</w:t>
      </w:r>
    </w:p>
    <w:p>
      <w:pPr>
        <w:jc w:val="both"/>
      </w:pPr>
      <w:r>
        <w:rPr>
          <w:b/>
        </w:rPr>
        <w:t>Délai :</w:t>
      </w:r>
      <w:r>
        <w:t xml:space="preserve"> </w:t>
      </w:r>
      <w:r>
        <w:rPr>
          <w:b/>
        </w:rPr>
        <w:t>T+3 mois.</w:t>
      </w:r>
      <w:r>
        <w:t xml:space="preserve"> Demande au Département des technologies financières de la Banque de Russie pour la conduite du pilot-light (voir </w:t>
      </w:r>
      <w:r>
        <w:rPr>
          <w:rFonts w:ascii="Consolas" w:hAnsi="Consolas"/>
          <w:sz w:val="18"/>
        </w:rPr>
        <w:t>04_Бизнес-план/Wedge_pilot-light.md</w:t>
      </w:r>
      <w:r>
        <w:t>) en régime juridique expérimental.</w:t>
      </w:r>
    </w:p>
    <w:p>
      <w:pPr>
        <w:pStyle w:val="Heading2"/>
      </w:pPr>
      <w:r>
        <w:t>3. Feuille de route consolidée de la constitution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Mois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Décision de lancement ; diffusion du concept au fondateur unique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T+0,5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 RKN du traitement des DP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Dépôt à la FNS des documents d'enregistrement de la SA ; nomination du directeur général, du juriste en chef, du chef comptable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 de marque à Rospatent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Demandes à Rospatent pour l'enregistrement des programmes d'ordinateur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Nomination du CISO, du responsable conformité, du président du CA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Enregistrement à Rosfinmonitoring ; adoption des PVK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Requête au Ministère des Finances sur la qualification fiscale (art. 34.2 du CGI)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Nomination du CRO, de l'auditeur interne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 au régime juridique expérimental de la Banque de Russie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Préparation du dossier pour la demande au registre des opérateurs SI d'AFN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T+6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Dépôt de la demande au registre BR des opérateurs SI d'AFN (779-P)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T+9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Démarrage de la certification CIPF / moyens de 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T+12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Catégorisation IIC (selon l'exploitation effective)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T+18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Obtention de tous les certificats sectoriels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T+24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Lancement du pilot-light sous le 259-FZ en vigueur (voir document wedge)</w:t>
            </w:r>
          </w:p>
        </w:tc>
      </w:tr>
    </w:tbl>
    <w:p/>
    <w:p>
      <w:pPr>
        <w:pStyle w:val="Heading2"/>
      </w:pPr>
      <w:r>
        <w:t>4. Risques juridiques fermés par ce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Drapeau RED de l'audit</w:t>
            </w:r>
          </w:p>
        </w:tc>
        <w:tc>
          <w:tcPr>
            <w:tcW w:type="dxa" w:w="432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Clôture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B5</w:t>
            </w:r>
            <w:r>
              <w:rPr>
                <w:sz w:val="17"/>
              </w:rPr>
              <w:t xml:space="preserve"> Pas d'opérateur PM corporatif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Constitution d'une SA à capital social ≥ 50 M ₽ ; plan de nomination des dirigeants selon 779-P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B6</w:t>
            </w:r>
            <w:r>
              <w:rPr>
                <w:sz w:val="17"/>
              </w:rPr>
              <w:t xml:space="preserve"> Opérateur DP non enregistré auprès de RKN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 RKN à T+0,5 mois ; jusque-là aucune DP réelle n'est collectée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B2</w:t>
            </w:r>
            <w:r>
              <w:rPr>
                <w:sz w:val="17"/>
              </w:rPr>
              <w:t xml:space="preserve"> Publicité d'un service financier non licencié dans RuStore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Description dans RuStore basculée en registre informatif et démonstratif ; disclaimer juridique ajouté (voir </w:t>
            </w:r>
            <w:r>
              <w:rPr>
                <w:rFonts w:ascii="Consolas" w:hAnsi="Consolas"/>
                <w:sz w:val="17"/>
              </w:rPr>
              <w:t>09_Мобильное_приложение/Публикация_RuStore/01_Описание_приложения.md</w:t>
            </w:r>
            <w:r>
              <w:rPr>
                <w:sz w:val="17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juridique A1</w:t>
            </w:r>
            <w:r>
              <w:rPr>
                <w:sz w:val="17"/>
              </w:rPr>
              <w:t xml:space="preserve"> Fiscalité de l'échange d'AFN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Requête au Ministère des Finances selon l'art. 34.2 du CGI à T+2 mois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juridique A2</w:t>
            </w:r>
            <w:r>
              <w:rPr>
                <w:sz w:val="17"/>
              </w:rPr>
              <w:t xml:space="preserve"> Statut d'agent fiscal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Inclus dans la requête au Ministère des Finances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juridique A5</w:t>
            </w:r>
            <w:r>
              <w:rPr>
                <w:sz w:val="17"/>
              </w:rPr>
              <w:t xml:space="preserve"> Catégorisation IIC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Dépôt après 6 mois d'exploitation effective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AMBER juridique A6</w:t>
            </w:r>
            <w:r>
              <w:rPr>
                <w:sz w:val="17"/>
              </w:rPr>
              <w:t xml:space="preserve"> Régime juridique 258-FZ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 au Département FinTech de la Banque de Russie à T+3 mois</w:t>
            </w:r>
          </w:p>
        </w:tc>
      </w:tr>
    </w:tbl>
    <w:p/>
    <w:p>
      <w:pPr>
        <w:pStyle w:val="Heading2"/>
      </w:pPr>
      <w:r>
        <w:t>5. Délais et financement de l'activité réglementaire initiale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Poste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 ₽</w:t>
            </w:r>
          </w:p>
        </w:tc>
        <w:tc>
          <w:tcPr>
            <w:tcW w:type="dxa" w:w="288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Délais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Constitution de la SA (taxes d'État, accompagnement juridique, notaire)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Demandes à Rospatent (4 programmes d'ordinateur + marque)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Préparation du dossier pour le registre 779-P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8,0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T+3…T+6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Préparation des PVK Rosfinmonitoring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0,8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T+1…T+2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Notification RKN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0,1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T+0,5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Accompagnement juridique de la constitution (consultant externe 9 mois)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14,0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T+0…T+9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Avis fiscal du Ministère des Finances (composante juridique)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1,2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T+2 mois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TOTAL (premier bloc de dépenses réglementaires)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24,6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</w:p>
        </w:tc>
      </w:tr>
    </w:tbl>
    <w:p/>
    <w:p>
      <w:pPr>
        <w:jc w:val="both"/>
      </w:pPr>
      <w:r>
        <w:t>Ce montant est inclus dans le tour de démarrage de 1,8 Md ₽ (25 M $).</w:t>
      </w:r>
    </w:p>
    <w:p>
      <w:pPr>
        <w:jc w:val="both"/>
      </w:pPr>
      <w:r>
        <w:rPr>
          <w:b/>
        </w:rPr>
        <w:t>Date de préparation :</w:t>
      </w:r>
      <w:r>
        <w:t xml:space="preserve"> 24.05.2026. </w:t>
      </w:r>
      <w:r>
        <w:rPr>
          <w:b/>
        </w:rPr>
        <w:t>Préparé :</w:t>
      </w:r>
      <w:r>
        <w:t xml:space="preserve"> dans le cadre de la correction des drapeaux RED de l'audit consolidé ; SoT unique pour le contour réglementaire du projet.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