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Wedge / Pilot-light sous le 259-FZ existant</w:t>
      </w:r>
    </w:p>
    <w:p>
      <w:pPr>
        <w:ind w:left="360"/>
      </w:pPr>
      <w:r>
        <w:rPr>
          <w:b/>
          <w:i/>
          <w:color w:val="444444"/>
        </w:rPr>
        <w:t>Note.</w:t>
      </w:r>
      <w:r>
        <w:rPr>
          <w:i/>
          <w:color w:val="444444"/>
        </w:rPr>
        <w:t xml:space="preserve"> Cette traduction suit l'original russe. La partie financière de l'original a été recalculée le 07.09.2026 (modèle v5) ; les chiffres de cette traduction ont été alignés sur ce calcul. En cas de divergence de rédaction, la version russe fait foi.</w:t>
      </w:r>
    </w:p>
    <w:p>
      <w:pPr>
        <w:jc w:val="both"/>
      </w:pPr>
      <w:r>
        <w:rPr>
          <w:b/>
        </w:rPr>
        <w:t>Document :</w:t>
      </w:r>
      <w:r>
        <w:t xml:space="preserve"> concept du contour minimal viable (« wedge ») de l'opérateur SI DFA, ne nécessitant pas d'amendements à 86-FZ ni à la législation rouble numérique. </w:t>
      </w:r>
      <w:r>
        <w:rPr>
          <w:b/>
        </w:rPr>
        <w:t>Objectif :</w:t>
      </w:r>
      <w:r>
        <w:t xml:space="preserve"> clôturer le drapeau RED D5 de l'audit consolidé du 24.05.2026 (« version wedge / pilot-light absente »). </w:t>
      </w:r>
      <w:r>
        <w:rPr>
          <w:b/>
        </w:rPr>
        <w:t>Logique stratégique :</w:t>
      </w:r>
      <w:r>
        <w:t xml:space="preserve"> ne pas se présenter devant la BCR au premier pas avec une construction exigeant un paquet de quatre lois fédérales ; entrer via un wedge-pilot sous le 259-FZ existant grâce à l'alliance VEB.RF / Minéco / partner bank / 779-P operator ; après 18–36 mois d'exploitation effective — ouvrir le dialogue avec la BCR via une position interministérielle consolidée. </w:t>
      </w:r>
      <w:r>
        <w:rPr>
          <w:b/>
        </w:rPr>
        <w:t>Date :</w:t>
      </w:r>
      <w:r>
        <w:t xml:space="preserve"> 24.05.2026.</w:t>
      </w:r>
    </w:p>
    <w:p>
      <w:pPr>
        <w:pStyle w:val="Heading2"/>
      </w:pPr>
      <w:r>
        <w:t>1. Qu'est-ce que le wedge / pilot-light</w:t>
      </w:r>
    </w:p>
    <w:p>
      <w:pPr>
        <w:jc w:val="both"/>
      </w:pPr>
      <w:r>
        <w:t>Le wedge est la configuration minimale de la plateforme dans laquelle :</w:t>
      </w:r>
    </w:p>
    <w:p>
      <w:pPr>
        <w:pStyle w:val="ListBullet"/>
      </w:pPr>
      <w:r>
        <w:rPr>
          <w:b/>
        </w:rPr>
        <w:t>La proposition de valeur est préservée</w:t>
      </w:r>
      <w:r>
        <w:t xml:space="preserve"> (émission de DFA ciblés contre gage d'actifs, fléchage des fonds vers des projets de développement social).</w:t>
      </w:r>
    </w:p>
    <w:p>
      <w:pPr>
        <w:pStyle w:val="ListBullet"/>
      </w:pPr>
      <w:r>
        <w:rPr>
          <w:b/>
        </w:rPr>
        <w:t>Le risque réglementaire principal est levé</w:t>
      </w:r>
      <w:r>
        <w:t xml:space="preserve"> (abandon de la formulation « émission ciblée de la Banque de Russie »).</w:t>
      </w:r>
    </w:p>
    <w:p>
      <w:pPr>
        <w:pStyle w:val="ListBullet"/>
      </w:pPr>
      <w:r>
        <w:rPr>
          <w:b/>
        </w:rPr>
        <w:t>La source du financement ciblé est remplacée</w:t>
      </w:r>
      <w:r>
        <w:t xml:space="preserve"> — au lieu d'une émission BCR, le canal existant du financement institutionnel via development institution / partner bank / sectoral institution est utilisé.</w:t>
      </w:r>
    </w:p>
    <w:p>
      <w:pPr>
        <w:pStyle w:val="ListBullet"/>
      </w:pPr>
      <w:r>
        <w:rPr>
          <w:b/>
        </w:rPr>
        <w:t>On obtient un contour unit-économique de base</w:t>
      </w:r>
      <w:r>
        <w:t xml:space="preserve"> (revenu de commissions d'émission et de service).</w:t>
      </w:r>
    </w:p>
    <w:p>
      <w:pPr>
        <w:pStyle w:val="ListBullet"/>
      </w:pPr>
      <w:r>
        <w:rPr>
          <w:b/>
        </w:rPr>
        <w:t>Un artefact de négociation est créé</w:t>
      </w:r>
      <w:r>
        <w:t xml:space="preserve"> pour le dialogue ultérieur avec la BCR via une position interministérielle consolidée.</w:t>
      </w:r>
    </w:p>
    <w:p>
      <w:pPr>
        <w:jc w:val="both"/>
      </w:pPr>
      <w:r>
        <w:t>Ce régime ne nécessite pas d'amendements à 86-FZ ni au Code budgétaire ; il s'inscrit pleinement dans le 259-FZ + règlement BCR 779-P actuels.</w:t>
      </w:r>
    </w:p>
    <w:p>
      <w:pPr>
        <w:pStyle w:val="Heading2"/>
      </w:pPr>
      <w:r>
        <w:t>2. Paramètres du wedge-pilot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Région du pilote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République du Tatarstan ou région de Tioumen (choix après négociation avec le gouvernement régional)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Type de bien gagé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Immobilier municipal et public (sans particuliers à la première étape — pour minimiser les risques consommateur)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Volume du pool année 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5–10 Md ₽ (50–100 objets de la municipalité)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Banque partenaire initiale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banque partenaire (déterminée par MoU)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Assureur initial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Sogor / Ingosstrakh / SOGAZ-SK (appel d'offres)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Source de financement ciblé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Crédits d'infrastructure VEB.RF (Fabrique de financement de projet) sous garanties d'État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Base réglementaire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259-FZ + 779-P + régime juridique expérimental (RJE) 258-FZ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Timing de lancement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Q3 2028 (T+18 mois à compter de la constitution de la JSC)</w:t>
            </w:r>
          </w:p>
        </w:tc>
      </w:tr>
    </w:tbl>
    <w:p/>
    <w:p>
      <w:pPr>
        <w:pStyle w:val="Heading2"/>
      </w:pPr>
      <w:r>
        <w:t>3. Parties prenantes du wedge-pilot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Partie prenante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Stratégie d'engagement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Gouvernement du Tatarstan / de Tioumen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Donneur d'ordre du pilote, fournisseur de la base de gage municipale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; argument « réduction de la pression sur le budget régional 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VEB.RF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de financement institutionnel ; lève le conflit de mandat avec la BCR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Canal direct via la Fabrique de financement de projet ; named sponsor — vice-ministre Minéco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partner bank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Banque de règlement du pilote ; partenaire d'émission de DFA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avec financement de projet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Atomyze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Partenariat technologique : un opérateur 779-P en place — opérateur de l'opération sous sa licence (la licence d'opérateur SI DFA est individuelle et non transférable, sublease impossible) ; CPFSR — front-end / agent de captation et d'évaluation des garanties, KYC, infrastructure technologique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Accord bilatéral de partenariat technologique ; interopérabilité de la stack DLT ; partage des fonctions et des revenus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Compagnie d'assurance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Couverture du pool de garanties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Appel d'offres parmi assureurs agréés BCR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Minéco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Allié politique (les projets nationaux sont leur KPI)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Canal d'entrée principal ; named sponsor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MinFin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Accord de la position fiscale ; baisse de pression sur les OFZ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 à MinFin selon l'art. 34.2 CI ; argument « canal extra-budgétaire 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Banque de Russie (régulateur prudentiel, art. 4 86-FZ)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Régime juridique expérimental, registre des opérateurs SI DFA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Via la position interministérielle consolidée (pas en first call)</w:t>
            </w:r>
          </w:p>
        </w:tc>
      </w:tr>
    </w:tbl>
    <w:p/>
    <w:p>
      <w:pPr>
        <w:pStyle w:val="Heading3"/>
      </w:pPr>
      <w:r>
        <w:t>3.1. Champion-map (nominal, à l'issue de l'audit clarifiant du 24.05.2026)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Organe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Champion nommé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Rôle / intérêt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Priorité de contact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Minéco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Maxime the relevant official</w:t>
            </w:r>
            <w:r>
              <w:rPr>
                <w:sz w:val="17"/>
              </w:rPr>
              <w:t>, ministre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Allié principal : KPI sur les projets nationaux, intéressé par les leviers d'accélération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T+1…T+3 mois (premier point d'entrée)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MinFin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le responsable compétent</w:t>
            </w:r>
            <w:r>
              <w:rPr>
                <w:sz w:val="17"/>
              </w:rPr>
              <w:t>, vice-ministre (dette extérieure et politique de la dette)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Canal extra-budgétaire pour l'infrastructure — réduction de la pression sur OFZ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mois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MinFin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relevant official</w:t>
            </w:r>
            <w:r>
              <w:rPr>
                <w:sz w:val="17"/>
              </w:rPr>
              <w:t>, vice-ministre (politique fiscale)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Validation de la position fiscale DFA (art. 34.2 CI)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mois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Douma d'État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relevant official</w:t>
            </w:r>
            <w:r>
              <w:rPr>
                <w:sz w:val="17"/>
              </w:rPr>
              <w:t>, président de la Commission du marché financier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Canal NPA pour la phase horizon (T+24+) ; soutien consultatif sur l'interprétation de 259-FZ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T+6…T+12 mois (pour l'horizon)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VEB.RF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Via la FPF — services spécialisés des projets d'infrastructure ; LoI / lettre consultative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de financement ciblé (Fabrique de financement de projet, décret n° 158)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mois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Gouvernements régionaux (pilote)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Tatarstan</w:t>
            </w:r>
            <w:r>
              <w:rPr>
                <w:sz w:val="17"/>
              </w:rPr>
              <w:t xml:space="preserve"> — le responsable compétent (transformation numérique) ; </w:t>
            </w:r>
            <w:r>
              <w:rPr>
                <w:b/>
                <w:sz w:val="17"/>
              </w:rPr>
              <w:t>Tioumen</w:t>
            </w:r>
            <w:r>
              <w:rPr>
                <w:sz w:val="17"/>
              </w:rPr>
              <w:t xml:space="preserve"> — le responsable compétent ; </w:t>
            </w:r>
            <w:r>
              <w:rPr>
                <w:b/>
                <w:sz w:val="17"/>
              </w:rPr>
              <w:t>Bachkortostan</w:t>
            </w:r>
            <w:r>
              <w:rPr>
                <w:sz w:val="17"/>
              </w:rPr>
              <w:t xml:space="preserve"> — option de réserve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Fournisseurs de la base de gage municipale ; volonté politique pour le pilote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T+6…T+9 mois (via MoU)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Banque de Russie (pour la phase horizon)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Via la position interministérielle consolidée Minéco + MinFin + Douma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Inclusion de l'institut d'émission ciblée dans la feuille de route à T+24+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Seulement après track-record wedge ≥ 12 mois</w:t>
            </w:r>
          </w:p>
        </w:tc>
      </w:tr>
    </w:tbl>
    <w:p/>
    <w:p>
      <w:pPr>
        <w:pStyle w:val="Heading2"/>
      </w:pPr>
      <w:r>
        <w:t>4. Étapes de lancement du wedge-pilot</w:t>
      </w:r>
    </w:p>
    <w:p>
      <w:pPr>
        <w:pStyle w:val="Heading3"/>
      </w:pPr>
      <w:r>
        <w:t>Étape 0 — Préparatoire (T+0…T+3 mois)</w:t>
      </w:r>
    </w:p>
    <w:p>
      <w:pPr>
        <w:pStyle w:val="ListNumber"/>
      </w:pPr>
      <w:r>
        <w:t xml:space="preserve">Constitution de la JSC « CPFSR » (voir </w:t>
      </w:r>
      <w:r>
        <w:rPr>
          <w:rFonts w:ascii="Consolas" w:hAnsi="Consolas"/>
          <w:sz w:val="18"/>
        </w:rPr>
        <w:t>02_Юридический_фундамент/Учреждение_АО_оператора_и_РКН.md</w:t>
      </w:r>
      <w:r>
        <w:t>).</w:t>
      </w:r>
    </w:p>
    <w:p>
      <w:pPr>
        <w:pStyle w:val="ListNumber"/>
      </w:pPr>
      <w:r>
        <w:t>Nominations conformes à 779-P.</w:t>
      </w:r>
    </w:p>
    <w:p>
      <w:pPr>
        <w:pStyle w:val="ListNumber"/>
      </w:pPr>
      <w:r>
        <w:t>Dépôts auprès de Rospatent / Roskomnadzor / Rosfinmonitoring.</w:t>
      </w:r>
    </w:p>
    <w:p>
      <w:pPr>
        <w:pStyle w:val="Heading3"/>
      </w:pPr>
      <w:r>
        <w:t>Étape 1 — Memo wrapper et champion search (T+3…T+9 mois)</w:t>
      </w:r>
    </w:p>
    <w:p>
      <w:pPr>
        <w:pStyle w:val="ListNumber"/>
      </w:pPr>
      <w:r>
        <w:rPr>
          <w:b/>
        </w:rPr>
        <w:t>Memo wrapper pour Minéco / Cabinet du Gouvernement :</w:t>
      </w:r>
      <w:r>
        <w:t xml:space="preserve"> positionnement comme outil d'accélération des projets nationaux (et non comme réforme monétaire). Formulation : « financement ciblé via l'infrastructure institutionnelle de VEB.RF / Trésor fédéral avec la Banque de Russie comme régulateur prudentiel ».</w:t>
      </w:r>
    </w:p>
    <w:p>
      <w:pPr>
        <w:pStyle w:val="ListNumber"/>
      </w:pPr>
      <w:r>
        <w:rPr>
          <w:b/>
        </w:rPr>
        <w:t>Champion search :</w:t>
      </w:r>
      <w:r>
        <w:t xml:space="preserve"> identifier un porteur politique (vice-ministre Minéco / conseiller du Président du Gouvernement). Sans champion le projet ne progresse pas.</w:t>
      </w:r>
    </w:p>
    <w:p>
      <w:pPr>
        <w:pStyle w:val="ListNumber"/>
      </w:pPr>
      <w:r>
        <w:rPr>
          <w:b/>
        </w:rPr>
        <w:t>MoU avec une banque</w:t>
      </w:r>
      <w:r>
        <w:t xml:space="preserve"> (banque partenaire) et une compagnie d'assurance.</w:t>
      </w:r>
    </w:p>
    <w:p>
      <w:pPr>
        <w:pStyle w:val="ListNumber"/>
      </w:pPr>
      <w:r>
        <w:rPr>
          <w:b/>
        </w:rPr>
        <w:t>MoU avec la région pilote</w:t>
      </w:r>
      <w:r>
        <w:t xml:space="preserve"> (choix Tatarstan / Tioumen).</w:t>
      </w:r>
    </w:p>
    <w:p>
      <w:pPr>
        <w:pStyle w:val="Heading3"/>
      </w:pPr>
      <w:r>
        <w:t>Étape 2 — Validations réglementaires (T+9…T+15 mois)</w:t>
      </w:r>
    </w:p>
    <w:p>
      <w:pPr>
        <w:pStyle w:val="ListNumber"/>
      </w:pPr>
      <w:r>
        <w:rPr>
          <w:b/>
        </w:rPr>
        <w:t>Demande au registre des opérateurs SI DFA</w:t>
      </w:r>
      <w:r>
        <w:t xml:space="preserve"> de la BCR (779-P).</w:t>
      </w:r>
    </w:p>
    <w:p>
      <w:pPr>
        <w:pStyle w:val="ListNumber"/>
      </w:pPr>
      <w:r>
        <w:rPr>
          <w:b/>
        </w:rPr>
        <w:t>Demande au régime juridique expérimental</w:t>
      </w:r>
      <w:r>
        <w:t xml:space="preserve"> de la BCR (258-FZ).</w:t>
      </w:r>
    </w:p>
    <w:p>
      <w:pPr>
        <w:pStyle w:val="ListNumber"/>
      </w:pPr>
      <w:r>
        <w:rPr>
          <w:b/>
        </w:rPr>
        <w:t>Validation des règles SI</w:t>
      </w:r>
      <w:r>
        <w:t xml:space="preserve"> (art. 6 259-FZ).</w:t>
      </w:r>
    </w:p>
    <w:p>
      <w:pPr>
        <w:pStyle w:val="ListNumber"/>
      </w:pPr>
      <w:r>
        <w:rPr>
          <w:b/>
        </w:rPr>
        <w:t>Obtention des certifications FSTEC / FSB</w:t>
      </w:r>
      <w:r>
        <w:t>.</w:t>
      </w:r>
    </w:p>
    <w:p>
      <w:pPr>
        <w:pStyle w:val="ListNumber"/>
      </w:pPr>
      <w:r>
        <w:rPr>
          <w:b/>
        </w:rPr>
        <w:t>Avis MinFin</w:t>
      </w:r>
      <w:r>
        <w:t xml:space="preserve"> sur la position fiscale (art. 34.2 CI).</w:t>
      </w:r>
    </w:p>
    <w:p>
      <w:pPr>
        <w:pStyle w:val="Heading3"/>
      </w:pPr>
      <w:r>
        <w:t>Étape 3 — Phase pilote (T+15…T+24 mois)</w:t>
      </w:r>
    </w:p>
    <w:p>
      <w:pPr>
        <w:pStyle w:val="ListNumber"/>
      </w:pPr>
      <w:r>
        <w:rPr>
          <w:b/>
        </w:rPr>
        <w:t>Raccordement de la base municipale de la région pilote</w:t>
      </w:r>
      <w:r>
        <w:t xml:space="preserve"> (50–100 objets).</w:t>
      </w:r>
    </w:p>
    <w:p>
      <w:pPr>
        <w:pStyle w:val="ListNumber"/>
      </w:pPr>
      <w:r>
        <w:rPr>
          <w:b/>
        </w:rPr>
        <w:t>Premier cycle d'émission de DFA ciblés</w:t>
      </w:r>
      <w:r>
        <w:t xml:space="preserve"> sur le pool de garanties municipales.</w:t>
      </w:r>
    </w:p>
    <w:p>
      <w:pPr>
        <w:pStyle w:val="ListNumber"/>
      </w:pPr>
      <w:r>
        <w:rPr>
          <w:b/>
        </w:rPr>
        <w:t>Financement ciblé via VEB.RF</w:t>
      </w:r>
      <w:r>
        <w:t xml:space="preserve"> (Fabrique de financement de projet) sous garanties régionales.</w:t>
      </w:r>
    </w:p>
    <w:p>
      <w:pPr>
        <w:pStyle w:val="ListNumber"/>
      </w:pPr>
      <w:r>
        <w:rPr>
          <w:b/>
        </w:rPr>
        <w:t>Financement d'un projet national</w:t>
      </w:r>
      <w:r>
        <w:t xml:space="preserve"> (par exemple, rénovation d'objets de services publics ou construction de logements sociaux).</w:t>
      </w:r>
    </w:p>
    <w:p>
      <w:pPr>
        <w:pStyle w:val="ListNumber"/>
      </w:pPr>
      <w:r>
        <w:rPr>
          <w:b/>
        </w:rPr>
        <w:t>Comptabilisation des opérations</w:t>
      </w:r>
      <w:r>
        <w:t xml:space="preserve"> dans l'architecture juridique actuelle (sans amendement à 86-FZ).</w:t>
      </w:r>
    </w:p>
    <w:p>
      <w:pPr>
        <w:pStyle w:val="Heading3"/>
      </w:pPr>
      <w:r>
        <w:t>Étape 4 — Mise à l'échelle (T+24…T+36 mois)</w:t>
      </w:r>
    </w:p>
    <w:p>
      <w:pPr>
        <w:pStyle w:val="ListNumber"/>
      </w:pPr>
      <w:r>
        <w:rPr>
          <w:b/>
        </w:rPr>
        <w:t>Extension à 3–5 régions</w:t>
      </w:r>
      <w:r>
        <w:t xml:space="preserve"> (multiplication du modèle).</w:t>
      </w:r>
    </w:p>
    <w:p>
      <w:pPr>
        <w:pStyle w:val="ListNumber"/>
      </w:pPr>
      <w:r>
        <w:rPr>
          <w:b/>
        </w:rPr>
        <w:t>Ajout d'une seconde classe de collatéral</w:t>
      </w:r>
      <w:r>
        <w:t xml:space="preserve"> (immobilier commercial régional).</w:t>
      </w:r>
    </w:p>
    <w:p>
      <w:pPr>
        <w:pStyle w:val="ListNumber"/>
      </w:pPr>
      <w:r>
        <w:rPr>
          <w:b/>
        </w:rPr>
        <w:t>Connexion d'une seconde banque partenaire</w:t>
      </w:r>
      <w:r>
        <w:t xml:space="preserve"> (diversification).</w:t>
      </w:r>
    </w:p>
    <w:p>
      <w:pPr>
        <w:pStyle w:val="ListNumber"/>
      </w:pPr>
      <w:r>
        <w:rPr>
          <w:b/>
        </w:rPr>
        <w:t>Connexion d'une seconde compagnie d'assurance</w:t>
      </w:r>
      <w:r>
        <w:t>.</w:t>
      </w:r>
    </w:p>
    <w:p>
      <w:pPr>
        <w:pStyle w:val="ListNumber"/>
      </w:pPr>
      <w:r>
        <w:rPr>
          <w:b/>
        </w:rPr>
        <w:t>Préparation de la position interministérielle consolidée</w:t>
      </w:r>
      <w:r>
        <w:t xml:space="preserve"> (BCR + MinFin + Minéco + VEB.RF) pour l'entrée horizon dans la BCR avec la construction de financement ciblé.</w:t>
      </w:r>
    </w:p>
    <w:p>
      <w:pPr>
        <w:pStyle w:val="Heading3"/>
      </w:pPr>
      <w:r>
        <w:t>Étape 5 — Phase horizon (T+36+ mois)</w:t>
      </w:r>
    </w:p>
    <w:p>
      <w:pPr>
        <w:pStyle w:val="ListNumber"/>
      </w:pPr>
      <w:r>
        <w:t xml:space="preserve">À l'appui d'un track-record wedge de 18–24 mois — </w:t>
      </w:r>
      <w:r>
        <w:rPr>
          <w:b/>
        </w:rPr>
        <w:t>entrer dans la BCR avec la position interministérielle consolidée</w:t>
      </w:r>
      <w:r>
        <w:t>.</w:t>
      </w:r>
    </w:p>
    <w:p>
      <w:pPr>
        <w:pStyle w:val="ListNumber"/>
      </w:pPr>
      <w:r>
        <w:t>Lobbying du paquet de quatre lois fédérales (86-FZ, 259-FZ, Code budgétaire, Code civil) — MinCifra + MinFin + BCR + Minéco.</w:t>
      </w:r>
    </w:p>
    <w:p>
      <w:pPr>
        <w:pStyle w:val="ListNumber"/>
      </w:pPr>
      <w:r>
        <w:t>Actes réglementaires, directive BCR, arrêté conjoint MinFin / BCR / MinCifra / Rosreestr / Trésor.</w:t>
      </w:r>
    </w:p>
    <w:p>
      <w:pPr>
        <w:pStyle w:val="ListNumber"/>
      </w:pPr>
      <w:r>
        <w:t>Lancement à pleine échelle avec la construction de financement ciblé.</w:t>
      </w:r>
    </w:p>
    <w:p>
      <w:pPr>
        <w:pStyle w:val="Heading2"/>
      </w:pPr>
      <w:r>
        <w:t>5. Logique financière du wedge-pilot</w:t>
      </w:r>
    </w:p>
    <w:p>
      <w:pPr>
        <w:pStyle w:val="Heading3"/>
      </w:pPr>
      <w:r>
        <w:t>5.1. Unit-économie du pilote année 1 (2027)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Pool de garanties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50 objets × 100 M ₽ = </w:t>
            </w:r>
            <w:r>
              <w:rPr>
                <w:b/>
                <w:sz w:val="17"/>
              </w:rPr>
              <w:t>5 Md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DFA émis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 Md ₽ nominal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Commission d'émission (0,5 %)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25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Commission de service annuelle (0,3 % du stack)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15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Frais de plateforme évaluation/assurance (0,15 %)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7,5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Services d'évaluation (0,8 % du volume)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40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Revenu complet année 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 87,5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OpEx année 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70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 année 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17,5 M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Marge EBITDA année 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20 %</w:t>
            </w:r>
          </w:p>
        </w:tc>
      </w:tr>
    </w:tbl>
    <w:p/>
    <w:p>
      <w:pPr>
        <w:pStyle w:val="Heading3"/>
      </w:pPr>
      <w:r>
        <w:t>5.2. Mise à l'échelle du pilote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Année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Régions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Pool de garanties, Md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Revenu, Md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Marge EBITDA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2027 (pilote)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0,09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20 %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2028 (extension)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0,42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40 %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2029 (extension)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55 %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2030 (phase horizon)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8,4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65 %</w:t>
            </w:r>
          </w:p>
        </w:tc>
      </w:tr>
    </w:tbl>
    <w:p/>
    <w:p>
      <w:pPr>
        <w:pStyle w:val="Heading3"/>
      </w:pPr>
      <w:r>
        <w:t>5.3. Cash-runway du pilote</w:t>
      </w:r>
    </w:p>
    <w:p>
      <w:pPr>
        <w:jc w:val="both"/>
      </w:pPr>
      <w:r>
        <w:t>Le tour initial de 15 M $ (1 335 M ₽) est alloué :</w:t>
      </w:r>
    </w:p>
    <w:p>
      <w:pPr>
        <w:pStyle w:val="ListBullet"/>
      </w:pPr>
      <w:r>
        <w:t>24,6 M ₽ — constitution de la JSC et enregistrement réglementaire.</w:t>
      </w:r>
    </w:p>
    <w:p>
      <w:pPr>
        <w:pStyle w:val="ListBullet"/>
      </w:pPr>
      <w:r>
        <w:t>720 M ₽ — CapEx premiers 18 mois (plateforme, data centers, licences).</w:t>
      </w:r>
    </w:p>
    <w:p>
      <w:pPr>
        <w:pStyle w:val="ListBullet"/>
      </w:pPr>
      <w:r>
        <w:t>502 + 220 = 722 M ₽ — OpEx année 1 (y compris masse salariale pour 40 personnes).</w:t>
      </w:r>
    </w:p>
    <w:p>
      <w:pPr>
        <w:jc w:val="both"/>
      </w:pPr>
      <w:r>
        <w:rPr>
          <w:b/>
        </w:rPr>
        <w:t>Besoin de financement.</w:t>
      </w:r>
      <w:r>
        <w:t xml:space="preserve"> Dans le scénario de base, le pic survient fin 2028 et s’élève à 1 701 M ₽ ; dans le scénario conservateur (wedge), à 2 277 M ₽, le chiffre d’affaires croissant plus lentement à charges égales. Le tour annoncé de 1,8 Md ₽ couvre le scénario de base avec un coussin et le conservateur à 79 % ; le solde est comblé par une tranche intermédiaire.</w:t>
      </w:r>
    </w:p>
    <w:p>
      <w:pPr>
        <w:pStyle w:val="Heading2"/>
      </w:pPr>
      <w:r>
        <w:t>6. Analyse concurrentielle du wedge-pilot</w:t>
      </w:r>
    </w:p>
    <w:p>
      <w:pPr>
        <w:jc w:val="both"/>
      </w:pPr>
      <w:r>
        <w:t>L'audit D-2 a signalé des concurrents non reflétés dans la DD. Dans la stratégie wedge — cooptation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Concurrent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Stratégie wedge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Atomyze, Masterchain, Lighthouse, Sber CFA, Alfa CFA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Cooptation via un modèle de consortium. l'un des opérateurs 779-P en place (opérateur de l'opération sous sa licence 779-P — licence non transférable entre personnes morales ; partage des fonctions : CPFSR — front-end/agent, un opérateur 779-P en place) ; les autres incluses dans la feuille de route comme fournisseurs d'infrastructure DLT ou services complémentaires.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Bourse de Moscou / SPB Exchange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Pas concurrent en phase wedge (ils ne travaillent pas avec le gage immobilier). Partenaire sur le marché secondaire DFA.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Plateforme VEB.RF « ROIV » et « Fabrique de financement de projet »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Pas concurrent mais source de financement ciblé</w:t>
            </w:r>
            <w:r>
              <w:rPr>
                <w:sz w:val="17"/>
              </w:rPr>
              <w:t xml:space="preserve"> dans le wedge. VEB.RF devient l'allié central.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DOM.RF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Partenaire de tokenisation immobilière (spécialisation résidentielle). MoU après le pilote.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действующий оператор 779-P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Défense contre un « killer » — partenariat technologique précoce (opérateur de l'opération + accord d'interopérabilité ; sans transfert de licence).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Rouble numérique (340-FZ)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Complément architectural : CPFSR opère avec le gage ; le rouble numérique est un instrument de règlement. Pas concurrent.</w:t>
            </w:r>
          </w:p>
        </w:tc>
      </w:tr>
    </w:tbl>
    <w:p/>
    <w:p>
      <w:pPr>
        <w:pStyle w:val="Heading2"/>
      </w:pPr>
      <w:r>
        <w:t>7. Défense contre le conflit de mandat</w:t>
      </w:r>
    </w:p>
    <w:p>
      <w:pPr>
        <w:jc w:val="both"/>
      </w:pPr>
      <w:r>
        <w:t xml:space="preserve">Avantage principal du wedge : </w:t>
      </w:r>
      <w:r>
        <w:rPr>
          <w:b/>
        </w:rPr>
        <w:t>le projet n'arrive pas à la BCR avec une demande d'émission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Argument contre un mandat BCR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Réponse wedge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 BCR n'a pas le pouvoir d'émission ciblée (art. 4, 22, 75 de 86-FZ)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Dans le wedge — financement ciblé via VEB.RF / Trésor ; aucun amendement à 86-FZ requis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Émission de roubles contre collatéral illiquide — QE avec risque de crédit caché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Dans le wedge — financement via VEB.RF sous garanties régionales ; risque de crédit au bilan VEB.RF, pas BCR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Double-comptage du collatéral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Dans le wedge — absent : VEB.RF accorde un vrai crédit contre un vrai gage ; les DFA sont des instruments de règlement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Binarité réglementaire (10 NPA — projet politique)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Dans le wedge — aucun amendement à la législation en vigueur ; uniquement validations au sein de 259-FZ et 258-FZ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Délai jusqu'à première émission de DFA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Dans le wedge — </w:t>
            </w:r>
            <w:r>
              <w:rPr>
                <w:b/>
                <w:sz w:val="17"/>
              </w:rPr>
              <w:t>T+18 mois à compter de la constitution de la JSC</w:t>
            </w:r>
            <w:r>
              <w:rPr>
                <w:sz w:val="17"/>
              </w:rPr>
              <w:t xml:space="preserve"> (timing unique : voir § 2 Q3 2028) ; étapes § 4 calibrées sur ce KPI. Phase horizon avec paquet NPA — T+36…T+60 mois réaliste</w:t>
            </w:r>
          </w:p>
        </w:tc>
      </w:tr>
    </w:tbl>
    <w:p/>
    <w:p>
      <w:pPr>
        <w:pStyle w:val="Heading2"/>
      </w:pPr>
      <w:r>
        <w:t>8. Critères de succès clés du wedge-pilot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Échéance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Constitution JSC + nominations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Selon 779-P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avec la région pilote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T+9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avec banque et assureur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T+9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Inscription au registre des opérateurs SI DFA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Obtenue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Autorisation du régime juridique expérimental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Obtenue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Premier cycle d'émission DFA ciblés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 Md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T+18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Premier financement ciblé via VEB.RF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 Md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T+19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Extension à 3 régions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Démarrage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T+24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Position interministérielle consolidée pour entrée BCR avec paquet NPA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Signée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T+30 mois</w:t>
            </w:r>
          </w:p>
        </w:tc>
      </w:tr>
    </w:tbl>
    <w:p/>
    <w:p>
      <w:pPr>
        <w:pStyle w:val="Heading2"/>
      </w:pPr>
      <w:r>
        <w:t>9. Ce que le wedge-pilot modifie dans le modèle financier</w:t>
      </w:r>
    </w:p>
    <w:p>
      <w:pPr>
        <w:jc w:val="both"/>
      </w:pPr>
      <w:r>
        <w:t xml:space="preserve">Le </w:t>
      </w:r>
      <w:r>
        <w:rPr>
          <w:b/>
        </w:rPr>
        <w:t>modèle financier</w:t>
      </w:r>
      <w:r>
        <w:t xml:space="preserve"> (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>) prend en compte le régime wedge dans le scénario Conservateur :</w:t>
      </w:r>
    </w:p>
    <w:p>
      <w:pPr>
        <w:pStyle w:val="ListBullet"/>
      </w:pPr>
      <w:r>
        <w:t>Part de marché année 10 — 7 % (contre 18 % dans le scénario de base).</w:t>
      </w:r>
    </w:p>
    <w:p>
      <w:pPr>
        <w:pStyle w:val="ListBullet"/>
      </w:pPr>
      <w:r>
        <w:t>Valeur d’entreprise — 20,1 Md ₽ (contre 63,0 Md ₽ dans le scénario de base).</w:t>
      </w:r>
    </w:p>
    <w:p>
      <w:pPr>
        <w:pStyle w:val="ListBullet"/>
      </w:pPr>
      <w:r>
        <w:t>Récupération — 3,94 ans (contre 2,73 dans le scénario de base).</w:t>
      </w:r>
    </w:p>
    <w:p>
      <w:pPr>
        <w:pStyle w:val="ListBullet"/>
      </w:pPr>
      <w:r>
        <w:t>Pic de besoin de financement — 2 277 M ₽ (contre 1 701 M ₽).</w:t>
      </w:r>
    </w:p>
    <w:p>
      <w:pPr>
        <w:jc w:val="both"/>
      </w:pPr>
      <w:r>
        <w:rPr>
          <w:b/>
        </w:rPr>
        <w:t>Le scénario Conservateur wedge est le floor</w:t>
      </w:r>
      <w:r>
        <w:t>, en deçà duquel le projet ne descend pas même en cas de refus total du paquet législatif.</w:t>
      </w:r>
    </w:p>
    <w:p>
      <w:pPr>
        <w:pStyle w:val="Heading2"/>
      </w:pPr>
      <w:r>
        <w:t>10. Conclusion</w:t>
      </w:r>
    </w:p>
    <w:p>
      <w:pPr>
        <w:jc w:val="both"/>
      </w:pPr>
      <w:r>
        <w:t xml:space="preserve">Wedge / pilot-light sous 259-FZ existant — </w:t>
      </w:r>
      <w:r>
        <w:rPr>
          <w:b/>
        </w:rPr>
        <w:t>pivot stratégique nécessaire</w:t>
      </w:r>
      <w:r>
        <w:t xml:space="preserve"> à l'issue du point d'audit D5. Rend le projet :</w:t>
      </w:r>
    </w:p>
    <w:p>
      <w:pPr>
        <w:pStyle w:val="ListBullet"/>
      </w:pPr>
      <w:r>
        <w:rPr>
          <w:b/>
        </w:rPr>
        <w:t>Réglementairement réaliste</w:t>
      </w:r>
      <w:r>
        <w:t xml:space="preserve"> (pas besoin d'un paquet de 4 lois fédérales pour démarrer).</w:t>
      </w:r>
    </w:p>
    <w:p>
      <w:pPr>
        <w:pStyle w:val="ListBullet"/>
      </w:pPr>
      <w:r>
        <w:rPr>
          <w:b/>
        </w:rPr>
        <w:t>Politiquement neutre</w:t>
      </w:r>
      <w:r>
        <w:t xml:space="preserve"> (ne menace pas le mandat BCR).</w:t>
      </w:r>
    </w:p>
    <w:p>
      <w:pPr>
        <w:pStyle w:val="ListBullet"/>
      </w:pPr>
      <w:r>
        <w:rPr>
          <w:b/>
        </w:rPr>
        <w:t>Financièrement défendu</w:t>
      </w:r>
      <w:r>
        <w:t xml:space="preserve"> (valeur d’entreprise 20,1 Md ₽ même en cas de refus du paquet d’amendements).</w:t>
      </w:r>
    </w:p>
    <w:p>
      <w:pPr>
        <w:pStyle w:val="ListBullet"/>
      </w:pPr>
      <w:r>
        <w:rPr>
          <w:b/>
        </w:rPr>
        <w:t>Négociationnellement fort</w:t>
      </w:r>
      <w:r>
        <w:t xml:space="preserve"> (au bout de 24 mois d'exploitation effective — position consolidée pour entrer à la BCR avec le paquet NPA).</w:t>
      </w:r>
    </w:p>
    <w:p>
      <w:pPr>
        <w:jc w:val="both"/>
      </w:pPr>
      <w:r>
        <w:t>C'est l'artefact final qui clôt le drapeau RED stratégique D5.</w:t>
      </w:r>
    </w:p>
    <w:p>
      <w:pPr>
        <w:jc w:val="both"/>
      </w:pPr>
      <w:r>
        <w:rPr>
          <w:b/>
        </w:rPr>
        <w:t>Date de préparation :</w:t>
      </w:r>
      <w:r>
        <w:t xml:space="preserve"> 24.05.2026. </w:t>
      </w:r>
      <w:r>
        <w:rPr>
          <w:b/>
        </w:rPr>
        <w:t>Préparé :</w:t>
      </w:r>
      <w:r>
        <w:t xml:space="preserve"> dans le cadre de la résolution des drapeaux RED de l'audit consolidé ; aligné avec le modèle financier et le cadre juridique.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