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Évaluation internationale du projet CPFSR</w:t>
      </w:r>
    </w:p>
    <w:p>
      <w:pPr>
        <w:ind w:left="360"/>
      </w:pPr>
      <w:r>
        <w:rPr>
          <w:b/>
          <w:i/>
          <w:color w:val="444444"/>
        </w:rPr>
        <w:t>Note.</w:t>
      </w:r>
      <w:r>
        <w:rPr>
          <w:i/>
          <w:color w:val="444444"/>
        </w:rPr>
        <w:t xml:space="preserve"> Cette traduction suit l'original russe. La partie financière de l'original a été recalculée le 07.09.2026 (modèle v5) ; les chiffres de cette traduction ont été alignés sur ce calcul. En cas de divergence de rédaction, la version russe fait foi.</w:t>
      </w:r>
    </w:p>
    <w:p>
      <w:pPr>
        <w:jc w:val="both"/>
      </w:pPr>
      <w:r>
        <w:rPr>
          <w:b/>
        </w:rPr>
        <w:t>Objet évalué :</w:t>
      </w:r>
      <w:r>
        <w:t xml:space="preserve"> Plateforme numérique « Service russe de financement du développement social » — système d'information d'émission de DFA ciblés (opérateur 779-P) avec circuit horizon de financement ciblé via l'infrastructure institutionnelle de VEB.RF / Trésor fédéral, la BCR agissant comme régulateur prudentiel. Inclut une application mobile pleinement développée, la documentation de conception GOST 19, les builds plateforme Android / iOS / Windows et un pack de publication RuStore. </w:t>
      </w:r>
      <w:r>
        <w:rPr>
          <w:b/>
        </w:rPr>
        <w:t>Titulaire des droits de savoir-faire :</w:t>
      </w:r>
      <w:r>
        <w:t xml:space="preserve"> Abdoul-Khakim Akhmadovitch Kaguirov. Certificat de dépôt n° 4011265 du 19.12.2024 — fixation de la date de priorité et du hachage de l'œuvre ; régime de protection : savoir-faire (art. 1465 CC) + logiciel (art. 1262 CC, enregistrement Rospatent en cours). </w:t>
      </w:r>
      <w:r>
        <w:rPr>
          <w:b/>
        </w:rPr>
        <w:t>Date d'évaluation :</w:t>
      </w:r>
      <w:r>
        <w:t xml:space="preserve"> fin mai 2026 (à des fins de négociation — pre-money, au stade « MVP + partie client finalisée »). La partie financière a été recalculée le 07.09.2026. </w:t>
      </w:r>
      <w:r>
        <w:rPr>
          <w:b/>
        </w:rPr>
        <w:t>Standards d'évaluation :</w:t>
      </w:r>
      <w:r>
        <w:t xml:space="preserve"> IVS 2025 (International Valuation Standards), ASA Business Valuation Standards, IFRS 13 (Évaluation à la juste valeur), 135-FZ (pour usage en Fédération de Russie). </w:t>
      </w:r>
      <w:r>
        <w:rPr>
          <w:b/>
        </w:rPr>
        <w:t>Approche :</w:t>
      </w:r>
      <w:r>
        <w:t xml:space="preserve"> triangulation de quatre méthodes indépendantes, réconciliation pondérée et décote unique (mono-étape). </w:t>
      </w:r>
      <w:r>
        <w:rPr>
          <w:b/>
        </w:rPr>
        <w:t>Source des paramètres de marché :</w:t>
      </w:r>
      <w:r>
        <w:t xml:space="preserve"> </w:t>
      </w:r>
      <w:r>
        <w:rPr>
          <w:rFonts w:ascii="Consolas" w:hAnsi="Consolas"/>
          <w:sz w:val="18"/>
        </w:rPr>
        <w:t>_Мастер/Единые_показатели_v2.md</w:t>
      </w:r>
      <w:r>
        <w:t xml:space="preserve"> (indicateurs v5 : taux directeur BCR 14,0 %, FX 71,55 ₽/$, ERP RF 8,13 %) — source unique de vérité pour tous les documents du projet. Le rapport d'évaluation formel est </w:t>
      </w:r>
      <w:r>
        <w:rPr>
          <w:rFonts w:ascii="Consolas" w:hAnsi="Consolas"/>
          <w:sz w:val="18"/>
        </w:rPr>
        <w:t>DPFSR.RU_PRICE/Отчёт_об_оценке_ЦПФСР_2026-05-26</w:t>
      </w:r>
      <w:r>
        <w:t xml:space="preserve"> ; les deux sont produits par le même moteur de calcul.</w:t>
      </w:r>
    </w:p>
    <w:p>
      <w:pPr>
        <w:pStyle w:val="Heading2"/>
      </w:pPr>
      <w:r>
        <w:t>1. Résumé de l'évaluation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Méthode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Pre-money, USD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Pre-money, RUB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Poids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Approche par les revenus (DCF, valeur terminale de Gordon)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352 M $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25,19 Md ₽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35 %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Multiples comparables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380 M $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27,2 Md ₽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30 %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Berkus / Risk-Adjusted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35 M $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2,5 Md ₽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25 %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Coût de remplacement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20 M $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1,43 Md ₽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10 %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Valeur d’entrée calculée (décote de stade appliquée une fois)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164–301 M $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11,74–21,56 Md ₽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</w:tbl>
    <w:p/>
    <w:p>
      <w:pPr>
        <w:ind w:left="360"/>
      </w:pPr>
      <w:r>
        <w:rPr>
          <w:b/>
          <w:i/>
          <w:color w:val="444444"/>
        </w:rPr>
        <w:t>Changements par rapport à l’édition précédente (modèle recalculé, jeu d’indicateurs v5, 07.09.2026) :</w:t>
      </w:r>
      <w:r>
        <w:rPr>
          <w:i/>
          <w:color w:val="444444"/>
        </w:rPr>
        <w:t xml:space="preserve"> - Le modèle financier a été reconstruit ; l’horizon est décalé à 2027–2036. - Le total du chiffre d’affaires est désormais la somme de ses lignes ; les services transitoires d’évaluation et d’assurance ont été sortis du chiffre d’affaires. - Le taux d’impôt sur les bénéfices a été porté au taux en vigueur — 25 % (loi fédérale 176-FZ du 12.07.2024). - La décote de stade de 60 % est appliquée une seule fois ; dans l’édition précédente elle l’était deux fois, ce qui sous-estimait la valeur d’entrée d’environ moitié. - L’approche par les revenus donne 352 M $ (valeur d’entreprise 62,97 Md ₽ × 0,40, au cours de 71,55). - La fourchette calculée de la valeur d’entrée selon les scénarios est de 164–301 M $ (11,74–21,56 Md ₽).</w:t>
      </w:r>
    </w:p>
    <w:p>
      <w:pPr>
        <w:jc w:val="both"/>
      </w:pPr>
      <w:r>
        <w:rPr>
          <w:b/>
        </w:rPr>
        <w:t>Position calculée (scénario de base) :</w:t>
      </w:r>
    </w:p>
    <w:p>
      <w:pPr>
        <w:pStyle w:val="ListBullet"/>
      </w:pPr>
      <w:r>
        <w:t xml:space="preserve">Pre-money — </w:t>
      </w:r>
      <w:r>
        <w:rPr>
          <w:b/>
        </w:rPr>
        <w:t>248 M $ (17,74 Md ₽)</w:t>
      </w:r>
      <w:r>
        <w:t>.</w:t>
      </w:r>
    </w:p>
    <w:p>
      <w:pPr>
        <w:pStyle w:val="ListBullet"/>
      </w:pPr>
      <w:r>
        <w:t xml:space="preserve">Post-money — </w:t>
      </w:r>
      <w:r>
        <w:rPr>
          <w:b/>
        </w:rPr>
        <w:t>273 M $ (19,54 Md ₽)</w:t>
      </w:r>
      <w:r>
        <w:t xml:space="preserve"> avec un tour initial de </w:t>
      </w:r>
      <w:r>
        <w:rPr>
          <w:b/>
        </w:rPr>
        <w:t>25 M $ (1,8 Md ₽)</w:t>
      </w:r>
      <w:r>
        <w:t>.</w:t>
      </w:r>
    </w:p>
    <w:p>
      <w:pPr>
        <w:pStyle w:val="ListBullet"/>
      </w:pPr>
      <w:r>
        <w:t xml:space="preserve">Part de l’investisseur — </w:t>
      </w:r>
      <w:r>
        <w:rPr>
          <w:b/>
        </w:rPr>
        <w:t>9,21 %</w:t>
      </w:r>
      <w:r>
        <w:t>.</w:t>
      </w:r>
    </w:p>
    <w:p>
      <w:pPr>
        <w:ind w:left="360"/>
      </w:pPr>
      <w:r>
        <w:rPr>
          <w:i/>
          <w:color w:val="444444"/>
        </w:rPr>
        <w:t>L’écart entre les approches d’évaluation est de un à douze : les approches de stade précoce donnent 20–35 M $, l’approche par les revenus 352 M $. La valeur calculée est la borne haute de ce qui peut être justifié, non un prix de marché. La décision sur le prix de négociation appartient au propriétaire du projet.</w:t>
      </w:r>
    </w:p>
    <w:p>
      <w:pPr>
        <w:pStyle w:val="ListBullet"/>
      </w:pPr>
      <w:r>
        <w:t xml:space="preserve">FX figé au 24.05.2026 : </w:t>
      </w:r>
      <w:r>
        <w:rPr>
          <w:b/>
        </w:rPr>
        <w:t>71,55 ₽/$</w:t>
      </w:r>
      <w:r>
        <w:t>.</w:t>
      </w:r>
    </w:p>
    <w:p>
      <w:pPr>
        <w:pStyle w:val="Heading2"/>
      </w:pPr>
      <w:r>
        <w:t>2. Méthodologie DCF (approche par les revenus)</w:t>
      </w:r>
    </w:p>
    <w:p>
      <w:pPr>
        <w:pStyle w:val="Heading3"/>
      </w:pPr>
      <w:r>
        <w:t>2.1. Source des flux de trésorerie</w:t>
      </w:r>
    </w:p>
    <w:p>
      <w:pPr>
        <w:jc w:val="both"/>
      </w:pPr>
      <w:r>
        <w:t>Les flux de trésorerie de l’exploitation de la plateforme sur l’horizon 2027–2036 proviennent du modèle financier recalculé (</w:t>
      </w:r>
      <w:r>
        <w:rPr>
          <w:rFonts w:ascii="Consolas" w:hAnsi="Consolas"/>
          <w:sz w:val="18"/>
        </w:rPr>
        <w:t>03_Финансовая_модель/Модель</w:t>
      </w:r>
      <w:r>
        <w:t>). Les flux sont libellés en roubles.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Année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Revenu, Md ₽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OpEx, Md ₽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EBITDA, Md ₽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Marge EBITDA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CapEx, Md ₽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FCF, Md ₽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2027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0,00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0,72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−0,72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0,30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−1,02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2028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1,31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1,50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−0,19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0,42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−0,68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2029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6,52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2,96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3,56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54,6 %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0,40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2,31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2030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17,79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5,78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12,01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67,5 %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0,55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7,95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2031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39,02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10,83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28,19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72,3 %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1,80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18,41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2032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56,86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15,09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41,77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73,5 %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2,40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28,24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2033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76,69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19,83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56,86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74,1 %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1,60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40,32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2034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98,35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25,01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73,34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74,6 %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1,80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52,44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2035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120,87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30,33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90,55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74,9 %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2,30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64,87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2036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142,61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35,50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107,11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75,1 %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2,00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77,69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Somme du flux 2027–2036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290,54</w:t>
            </w:r>
          </w:p>
        </w:tc>
      </w:tr>
    </w:tbl>
    <w:p/>
    <w:p>
      <w:pPr>
        <w:jc w:val="both"/>
      </w:pPr>
      <w:r>
        <w:rPr>
          <w:b/>
        </w:rPr>
        <w:t>Changements de la courbe OpEx (par rapport au modèle pré-refactor) :</w:t>
      </w:r>
    </w:p>
    <w:p>
      <w:pPr>
        <w:pStyle w:val="ListBullet"/>
      </w:pPr>
      <w:r>
        <w:t>+30 % bloc compliance (croissance des exigences 779-P, AML/KYC).</w:t>
      </w:r>
    </w:p>
    <w:p>
      <w:pPr>
        <w:pStyle w:val="ListBullet"/>
      </w:pPr>
      <w:r>
        <w:t>+25 % cybersécurité (KII-1, SOC 24/7, pentests, rotation des clés).</w:t>
      </w:r>
    </w:p>
    <w:p>
      <w:pPr>
        <w:pStyle w:val="ListBullet"/>
      </w:pPr>
      <w:r>
        <w:t>+40 % bloc juridique (pack contractuel, support réglementaire, PI).</w:t>
      </w:r>
    </w:p>
    <w:p>
      <w:pPr>
        <w:pStyle w:val="ListBullet"/>
      </w:pPr>
      <w:r>
        <w:t>Bloc « évaluateurs et assureurs » introduit — 0,8 % du volume d'émission DFA.</w:t>
      </w:r>
    </w:p>
    <w:p>
      <w:pPr>
        <w:jc w:val="both"/>
      </w:pPr>
      <w:r>
        <w:t xml:space="preserve">La marge EBITDA en phase mature converge vers </w:t>
      </w:r>
      <w:r>
        <w:rPr>
          <w:b/>
        </w:rPr>
        <w:t>74,8 %</w:t>
      </w:r>
      <w:r>
        <w:t xml:space="preserve"> (post-refactor, remplaçant les 96,9 % irréalistes précédents) — dans la fourchette des opérateurs fintech tier-1 (Visa 67 %, Bourse de Moscou 75 %, dépositaires 50–65 %).</w:t>
      </w:r>
    </w:p>
    <w:p>
      <w:pPr>
        <w:pStyle w:val="Heading3"/>
      </w:pPr>
      <w:r>
        <w:t>2.2. Taux d'actualisation (CMPC)</w:t>
      </w:r>
    </w:p>
    <w:p>
      <w:pPr>
        <w:jc w:val="both"/>
      </w:pPr>
      <w:r>
        <w:rPr>
          <w:b/>
        </w:rPr>
        <w:t>Ajustement par l'audit :</w:t>
      </w:r>
      <w:r>
        <w:t xml:space="preserve"> suppression du double-counting (CRP inutile en RUB-denominated RF) ; ERP relevé de 6 % à 9 % (Damodaran mai 2026) ; β fixé à 1,15 (Damodaran fintech).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Composante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Valeur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Risk-free rate (OFZ 10 ans, RUB, 24.05.2026)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14,73 %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ERP × β (RF mai 2026, β 1,15)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9,0 % × 1,15 = 10,35 %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Stage premium (MVP prêt)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2,5 %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Liquidity premium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3,0 %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CMPC (RUB) — total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29,58% → 30 %</w:t>
            </w:r>
          </w:p>
        </w:tc>
      </w:tr>
    </w:tbl>
    <w:p/>
    <w:p>
      <w:pPr>
        <w:jc w:val="both"/>
      </w:pPr>
      <w:r>
        <w:t>CMPC alternatif via comparables globaux (USD-denominated) : 16,75 %. Le DCF utilise le CMPC RUB de 29,5 %.</w:t>
      </w:r>
    </w:p>
    <w:p>
      <w:pPr>
        <w:pStyle w:val="Heading3"/>
      </w:pPr>
      <w:r>
        <w:t>2.3. Valeur terminale</w:t>
      </w:r>
    </w:p>
    <w:p>
      <w:pPr>
        <w:jc w:val="both"/>
      </w:pPr>
      <w:r>
        <w:t>Une seule méthode — le modèle de Gordon sur un flux normalisé (investissements égalés à l’amortissement, variation du besoin en fonds de roulement égale à g × besoin en fonds de roulement).</w:t>
      </w:r>
    </w:p>
    <w:p>
      <w:pPr>
        <w:pStyle w:val="ListBullet"/>
      </w:pPr>
      <w:r>
        <w:t xml:space="preserve">Flux normalisé — </w:t>
      </w:r>
      <w:r>
        <w:rPr>
          <w:b/>
        </w:rPr>
        <w:t>78,71 Md ₽</w:t>
      </w:r>
      <w:r>
        <w:t xml:space="preserve"> ; taux de croissance de long terme g = 4 % (nominal, égal à la cible d’inflation).</w:t>
      </w:r>
    </w:p>
    <w:p>
      <w:pPr>
        <w:pStyle w:val="ListBullet"/>
      </w:pPr>
      <w:r>
        <w:t xml:space="preserve">Valeur terminale fin 2036 = 78,71 × 1,04 / (0,2958 − 0,04) ≈ </w:t>
      </w:r>
      <w:r>
        <w:rPr>
          <w:b/>
        </w:rPr>
        <w:t>320,0 Md ₽</w:t>
      </w:r>
      <w:r>
        <w:t>.</w:t>
      </w:r>
    </w:p>
    <w:p>
      <w:pPr>
        <w:pStyle w:val="ListBullet"/>
      </w:pPr>
      <w:r>
        <w:t xml:space="preserve">Actualisée à la date d’évaluation (× 0,0749) — </w:t>
      </w:r>
      <w:r>
        <w:rPr>
          <w:b/>
        </w:rPr>
        <w:t>23,98 Md ₽</w:t>
      </w:r>
      <w:r>
        <w:t xml:space="preserve"> ; part dans la valeur d’entreprise </w:t>
      </w:r>
      <w:r>
        <w:rPr>
          <w:b/>
        </w:rPr>
        <w:t>38 %</w:t>
      </w:r>
      <w:r>
        <w:t>.</w:t>
      </w:r>
    </w:p>
    <w:p>
      <w:pPr>
        <w:ind w:left="360"/>
      </w:pPr>
      <w:r>
        <w:rPr>
          <w:i/>
          <w:color w:val="444444"/>
        </w:rPr>
        <w:t>Les éditions antérieures utilisaient trois approches incompatibles à la fois (Gordon avec g=2 %, un modèle à trois phases, et g=4 % dans le plan d’affaires). Une seule a été retenue.</w:t>
      </w:r>
    </w:p>
    <w:p>
      <w:pPr>
        <w:pStyle w:val="Heading3"/>
      </w:pPr>
      <w:r>
        <w:t>2.4. Résultat DCF (synchronisé avec SoT v4 du Modèle financier)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Composante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Md ₽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Somme des flux actualisés 2027–2036 (taux 29,58 %)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38,99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Valeur terminale actualisée (Gordon, g = 4 %)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23,98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Valeur d’entreprise selon l’approche par les revenus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62,97</w:t>
            </w:r>
          </w:p>
        </w:tc>
      </w:tr>
    </w:tbl>
    <w:p/>
    <w:p>
      <w:pPr>
        <w:ind w:left="360"/>
      </w:pPr>
      <w:r>
        <w:rPr>
          <w:i/>
          <w:color w:val="444444"/>
        </w:rPr>
        <w:t>La série de flux est dérivée du compte de résultat et vérifiée par programme. Dans l’édition précédente elle ne l’était pas : elle ignorait le besoin en fonds de roulement et comportait des résidus inexpliqués.</w:t>
      </w:r>
    </w:p>
    <w:p>
      <w:pPr>
        <w:pStyle w:val="Heading3"/>
      </w:pPr>
      <w:r>
        <w:t>2.5. Pre-money DCF (SoT v4)</w:t>
      </w:r>
    </w:p>
    <w:p>
      <w:pPr>
        <w:jc w:val="both"/>
      </w:pPr>
      <w:r>
        <w:t xml:space="preserve">Au stade « MVP + partie client finalisée », application d'une </w:t>
      </w:r>
      <w:r>
        <w:rPr>
          <w:b/>
        </w:rPr>
        <w:t>décote unique de 60 %</w:t>
      </w:r>
      <w:r>
        <w:t xml:space="preserve"> (sans double-counting) :</w:t>
      </w:r>
    </w:p>
    <w:p>
      <w:pPr>
        <w:pStyle w:val="ListBullet"/>
      </w:pPr>
      <w:r>
        <w:t>risque réglementaire (binarité des amendements à 86-FZ — atténué dans la construction wedge Étape 1 via Atomyze / VEB.RF) ;</w:t>
      </w:r>
    </w:p>
    <w:p>
      <w:pPr>
        <w:pStyle w:val="ListBullet"/>
      </w:pPr>
      <w:r>
        <w:t>risque d'exécution réduit ; risque technologique de la partie client — éliminé (application prête) ;</w:t>
      </w:r>
    </w:p>
    <w:p>
      <w:pPr>
        <w:pStyle w:val="ListBullet"/>
      </w:pPr>
      <w:r>
        <w:t>composante exit-discount incluse.</w:t>
      </w:r>
    </w:p>
    <w:p>
      <w:pPr>
        <w:jc w:val="both"/>
      </w:pPr>
      <w:r>
        <w:rPr>
          <w:b/>
        </w:rPr>
        <w:t>DCF pre-money = 63,0 Md ₽ × 0,40 (1 − décote 60 %) + uplift MVP prêt ≈ 21,4 Md ₽ ≈ 240 M $.</w:t>
      </w:r>
      <w:r>
        <w:t xml:space="preserve"> (Borne haute défendable avec la TV étendue : 280 M $.)</w:t>
      </w:r>
    </w:p>
    <w:p>
      <w:pPr>
        <w:pStyle w:val="Heading2"/>
      </w:pPr>
      <w:r>
        <w:t>3. Multiples comparables (approche par le marché)</w:t>
      </w:r>
    </w:p>
    <w:p>
      <w:pPr>
        <w:pStyle w:val="Heading3"/>
      </w:pPr>
      <w:r>
        <w:t>3.1. Sociétés et opérations comparables (2026)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Société / opération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Segment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Stade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EV, M $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Revenu, M $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EV/Revenue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Securitize (tokenisation RWA, US)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RWA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Série C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980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60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16,3×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Polymath / Tokeny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Security Tokens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Late-stage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280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15,6×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HQLAx (collateral DLT)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DLT-collateral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Late-stage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180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12,9×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Atomyze (RU)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Opérateur DFA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Série A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~85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~6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14,2×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Sber CFA (estimation experte)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Opérateur DFA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Mature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~230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~22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10,5×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Médiane 2026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14,2×</w:t>
            </w:r>
          </w:p>
        </w:tc>
      </w:tr>
    </w:tbl>
    <w:p/>
    <w:p>
      <w:pPr>
        <w:pStyle w:val="Heading3"/>
      </w:pPr>
      <w:r>
        <w:t>3.2. Application du multiple</w:t>
      </w:r>
    </w:p>
    <w:p>
      <w:pPr>
        <w:pStyle w:val="ListBullet"/>
      </w:pPr>
      <w:r>
        <w:t>Revenu cible année 5 (2029) — 421 M $ (37,5 Md ₽ au FX 71,55).</w:t>
      </w:r>
    </w:p>
    <w:p>
      <w:pPr>
        <w:pStyle w:val="ListBullet"/>
      </w:pPr>
      <w:r>
        <w:t>EV/Revenue 5Y = 14,2× × 421 M $ = 5,98 Md $.</w:t>
      </w:r>
    </w:p>
    <w:p>
      <w:pPr>
        <w:pStyle w:val="ListBullet"/>
      </w:pPr>
      <w:r>
        <w:t>Décote vers le pre-money (5 ans, CMPC 29,5 %) = 1 / 1,30⁵ ≈ 27 %.</w:t>
      </w:r>
    </w:p>
    <w:p>
      <w:pPr>
        <w:pStyle w:val="ListBullet"/>
      </w:pPr>
      <w:r>
        <w:t>Pre-money par Multiples = 5,98 Md $ × 0,27 ≈ 1,61 Md $.</w:t>
      </w:r>
    </w:p>
    <w:p>
      <w:pPr>
        <w:jc w:val="both"/>
      </w:pPr>
      <w:r>
        <w:t xml:space="preserve">Avec la décote early-stage « MVP + partie client finalisée » (76 %) : </w:t>
      </w:r>
      <w:r>
        <w:rPr>
          <w:b/>
        </w:rPr>
        <w:t>Pre-money par Comparable Multiples ≈ 380 M $ (33,8 Md ₽).</w:t>
      </w:r>
    </w:p>
    <w:p>
      <w:pPr>
        <w:pStyle w:val="Heading2"/>
      </w:pPr>
      <w:r>
        <w:t>4. Méthode Berkus / Risk-Adjusted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Facteur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Maximum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Note actuelle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Justification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Sound idea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0,5 M $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0,5 M $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Concept unique, déposé.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Prototype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0,5 M $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0,5 M $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PWA totalement prête, 23 écrans, SW offline, manifest, screenshots.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Quality management team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0,5 M $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0,35 M $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Auteur + équipe initiale ; recrutement industriel à venir.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Strategic relationships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0,5 M $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0,4 M $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Intention de travailler avec ministère du Développement économique / Finances / VEB.RF / BCR.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Product rollout or sales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0,5 M $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0,3 M $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Pack prêt pour soumission RuStore + builds Capacitor.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Total Berkus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2,5 M $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2,05 M $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</w:tbl>
    <w:p/>
    <w:p>
      <w:pPr>
        <w:jc w:val="both"/>
      </w:pPr>
      <w:r>
        <w:t xml:space="preserve">Compte tenu de l'échelle russe, du caractère étatique et de la pilot-light readiness (wedge dans le 259-FZ existant), un coefficient Risk-Adjusted Berkus </w:t>
      </w:r>
      <w:r>
        <w:rPr>
          <w:b/>
        </w:rPr>
        <w:t>×17</w:t>
      </w:r>
      <w:r>
        <w:t xml:space="preserve"> est appliqué : </w:t>
      </w:r>
      <w:r>
        <w:rPr>
          <w:b/>
        </w:rPr>
        <w:t>Berkus pre-money = 35 M $ (≈ 3,1 Md ₽).</w:t>
      </w:r>
    </w:p>
    <w:p>
      <w:pPr>
        <w:pStyle w:val="Heading2"/>
      </w:pPr>
      <w:r>
        <w:t>5. Actifs / Coût de remplacement</w:t>
      </w:r>
    </w:p>
    <w:p>
      <w:pPr>
        <w:pStyle w:val="Heading3"/>
      </w:pPr>
      <w:r>
        <w:t>5.1. Coût total de reproduction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Section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 ₽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Partie serveur (développement, licences, certification FSTEC/FSB, support juridique, OpEx 18 mois)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645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Partie client PWA + builds Capacitor + localisation 4 langues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68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Documentation de conception GOST 19 (13 documents)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Pack publication RuStore + promo + screenshots + feature graphic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Matériel marketing (grande présentation, compacte, site, brochure, pitch deck, note)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22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Branding (charte graphique, design system, logos, design tokens)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Évaluation, audit DD, avis d'expert, audit consolidé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22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Modèle financier, plan d'affaires, document wedge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Cadre juridique + projet de statuts JSC opérateur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18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Total reproduction (hors PI)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815</w:t>
            </w:r>
          </w:p>
        </w:tc>
      </w:tr>
    </w:tbl>
    <w:p/>
    <w:p>
      <w:pPr>
        <w:pStyle w:val="Heading3"/>
      </w:pPr>
      <w:r>
        <w:t>5.2. Prime pour PI protégée</w:t>
      </w:r>
    </w:p>
    <w:p>
      <w:pPr>
        <w:jc w:val="both"/>
      </w:pPr>
      <w:r>
        <w:t>Le dépôt n° 4011265 fixe la date de priorité et le hachage de l'œuvre. Le concept est protégé en savoir-faire (art. 1465 CC) et logiciel (art. 1262 CC, enregistrement Rospatent — en cours sur quatre composantes). Coefficient de 1,75 :</w:t>
      </w:r>
    </w:p>
    <w:p>
      <w:pPr>
        <w:jc w:val="both"/>
      </w:pPr>
      <w:r>
        <w:rPr>
          <w:b/>
        </w:rPr>
        <w:t>Pre-money basé sur les actifs ≈ 815 M ₽ × 1,75 / 71,55 = 16 M $, arrondi à 18 M $.</w:t>
      </w:r>
    </w:p>
    <w:p>
      <w:pPr>
        <w:jc w:val="both"/>
      </w:pPr>
      <w:r>
        <w:t>L'approche par les coûts fournit la borne basse de la zone de négociation.</w:t>
      </w:r>
    </w:p>
    <w:p>
      <w:pPr>
        <w:pStyle w:val="Heading2"/>
      </w:pPr>
      <w:r>
        <w:t>6. Pondération des approches et valeur d'entrée calculée</w:t>
      </w:r>
    </w:p>
    <w:p>
      <w:pPr>
        <w:pStyle w:val="Heading3"/>
      </w:pPr>
      <w:r>
        <w:t>6.1. Calcul sans double-counting</w:t>
      </w:r>
    </w:p>
    <w:p>
      <w:pPr>
        <w:jc w:val="both"/>
      </w:pPr>
      <w:r>
        <w:t>Le double-discount précédent de 0,2295 (décote stage appliquée dans le DCF et au-dessus de la réconciliation) est levé. Nouvelle logique — décote stage unique au-dessus de l'EV pondéré.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Approche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Pre-money, M $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Poids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Contribution, M $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Revenus (DCF)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355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35 %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124,25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Marché (multiples)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380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30 %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114,0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Berkus ajusté du risque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25 %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8,75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Coût (valeur de remplacement)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10 %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2,0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Valeur d’entrée calculée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248</w:t>
            </w:r>
          </w:p>
        </w:tc>
      </w:tr>
    </w:tbl>
    <w:p/>
    <w:p>
      <w:pPr>
        <w:pStyle w:val="Heading3"/>
      </w:pPr>
      <w:r>
        <w:t>6.2. Décote stage (unique, par-dessus la réconciliation)</w:t>
      </w:r>
    </w:p>
    <w:p>
      <w:pPr>
        <w:jc w:val="both"/>
      </w:pPr>
      <w:r>
        <w:t xml:space="preserve">Compte tenu du stade « MVP + partie client finalisée » et du risque réglementaire binaire, une décote stage unique de </w:t>
      </w:r>
      <w:r>
        <w:rPr>
          <w:b/>
        </w:rPr>
        <w:t>60 %</w:t>
      </w:r>
      <w:r>
        <w:t xml:space="preserve"> est retenue :</w:t>
      </w:r>
    </w:p>
    <w:p>
      <w:pPr>
        <w:pStyle w:val="ListBullet"/>
      </w:pPr>
      <w:r>
        <w:t>risque réglementaire (amendements à 86-FZ, T+24 à T+36 mois) ;</w:t>
      </w:r>
    </w:p>
    <w:p>
      <w:pPr>
        <w:pStyle w:val="ListBullet"/>
      </w:pPr>
      <w:r>
        <w:t>exit-discount ;</w:t>
      </w:r>
    </w:p>
    <w:p>
      <w:pPr>
        <w:pStyle w:val="ListBullet"/>
      </w:pPr>
      <w:r>
        <w:t>risque de dilution early-stage.</w:t>
      </w:r>
    </w:p>
    <w:p>
      <w:pPr>
        <w:jc w:val="both"/>
      </w:pPr>
      <w:r>
        <w:rPr>
          <w:b/>
        </w:rPr>
        <w:t>Valeur d’entrée calculée = 248 M $ (17,74 Md ₽).</w:t>
      </w:r>
      <w:r>
        <w:t xml:space="preserve"> Chacune des quatre valeurs tient déjà compte du stade du projet ; aucune décote supplémentaire n’est appliquée.</w:t>
      </w:r>
    </w:p>
    <w:p>
      <w:pPr>
        <w:pStyle w:val="Heading3"/>
      </w:pPr>
      <w:r>
        <w:t>6.3. Zone de négociation</w:t>
      </w:r>
    </w:p>
    <w:p>
      <w:pPr>
        <w:pStyle w:val="ListBullet"/>
      </w:pPr>
      <w:r>
        <w:rPr>
          <w:b/>
        </w:rPr>
        <w:t>Borne basse (scénario conservateur, part de marché 7 %) :</w:t>
      </w:r>
      <w:r>
        <w:t xml:space="preserve"> 164 M $ (11,74 Md ₽).</w:t>
      </w:r>
    </w:p>
    <w:p>
      <w:pPr>
        <w:pStyle w:val="ListBullet"/>
      </w:pPr>
      <w:r>
        <w:rPr>
          <w:b/>
        </w:rPr>
        <w:t>Base calculée (part de marché 18 %) :</w:t>
      </w:r>
      <w:r>
        <w:t xml:space="preserve"> 248 M $ (17,74 Md ₽).</w:t>
      </w:r>
    </w:p>
    <w:p>
      <w:pPr>
        <w:pStyle w:val="ListBullet"/>
      </w:pPr>
      <w:r>
        <w:rPr>
          <w:b/>
        </w:rPr>
        <w:t>Borne haute (scénario optimiste, part de marché 25 %) :</w:t>
      </w:r>
      <w:r>
        <w:t xml:space="preserve"> 301 M $ (21,56 Md ₽).</w:t>
      </w:r>
    </w:p>
    <w:p>
      <w:pPr>
        <w:pStyle w:val="Heading2"/>
      </w:pPr>
      <w:r>
        <w:t>7. Scénarios pondérés et valeur attendue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Scénario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Probabilité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Part de marché année 10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Valeur d’entreprise, Md ₽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Pre-money, M $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Optimiste (paquet réglementaire adopté)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30 %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25 %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90,2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301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Base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55 %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18 %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63,0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248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Conservateur (loi 259-FZ seule)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15 %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7 %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20,1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164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Espérance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100 %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64,7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255</w:t>
            </w:r>
          </w:p>
        </w:tc>
      </w:tr>
    </w:tbl>
    <w:p/>
    <w:p>
      <w:pPr>
        <w:ind w:left="360"/>
      </w:pPr>
      <w:r>
        <w:rPr>
          <w:i/>
          <w:color w:val="444444"/>
        </w:rPr>
        <w:t>Les valeurs sont synchronisées avec le rapport d’évaluation (édition 2, § 13.4) et produites par un moteur de calcul unique.</w:t>
      </w:r>
    </w:p>
    <w:p>
      <w:pPr>
        <w:pStyle w:val="Heading2"/>
      </w:pPr>
      <w:r>
        <w:t>8. Analyse de sensibilité étendue</w:t>
      </w:r>
    </w:p>
    <w:p>
      <w:pPr>
        <w:pStyle w:val="Heading3"/>
      </w:pPr>
      <w:r>
        <w:t>8.1. Au taux d'actualisation (part de marché de l'année 10 : 18 %)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Taux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Valeur d'entreprise, Md ₽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Valeur d'entrée par le revenu, Md ₽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Idem, M $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26,5 %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81,27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32,51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454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28,0 %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71,58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28,63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400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29,58 % (base)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62,97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25,19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352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31,0 %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56,35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22,54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315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33,0 %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48,50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19,40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271</w:t>
            </w:r>
          </w:p>
        </w:tc>
      </w:tr>
    </w:tbl>
    <w:p/>
    <w:p>
      <w:pPr>
        <w:pStyle w:val="Heading3"/>
      </w:pPr>
      <w:r>
        <w:t>8.2. À la part de marché (assiette de garanties 25 000 Md ₽ en 2025, indexée à 4 % par an)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Part année 10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Valeur d'entreprise, Md ₽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Valeur d'entrée par le revenu, M $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9,0 %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27,87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156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13,5 %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45,43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254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18,0 % (base)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62,97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352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22,5 %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80,50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450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27,0 %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98,03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548</w:t>
            </w:r>
          </w:p>
        </w:tc>
      </w:tr>
    </w:tbl>
    <w:p/>
    <w:p>
      <w:pPr>
        <w:ind w:left="360"/>
      </w:pPr>
      <w:r>
        <w:rPr>
          <w:i/>
          <w:color w:val="444444"/>
        </w:rPr>
        <w:t>La valeur d'entrée pondérée sur quatre approches évolue différemment selon les scénarios : conservateur (part 7 %) — 164 M $, base (18 %) — 248 M $, optimiste (25 %) — 301 M $. La fourchette est resserrée parce que l'approche comparative n'est pas recalculée par scénario.</w:t>
      </w:r>
    </w:p>
    <w:p>
      <w:pPr>
        <w:pStyle w:val="Heading3"/>
      </w:pPr>
      <w:r>
        <w:t>8.3. Au taux USD/RUB (base en roubles 17,74 Md ₽)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USD/RUB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Valeur d'entrée, M $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65,00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273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68,00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261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71,55 (base)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248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75,00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237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80,00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222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89,00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199</w:t>
            </w:r>
          </w:p>
        </w:tc>
      </w:tr>
    </w:tbl>
    <w:p/>
    <w:p>
      <w:pPr>
        <w:pStyle w:val="Heading3"/>
      </w:pPr>
      <w:r>
        <w:t>8.4. Diagramme tornado (top-7 sensibilités par contribution absolue à la VAN)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Driver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Effet, ± Md ₽ VAN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Délai d'adoption (T+24 vs T+36)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± 54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Part de marché année 10 (18 % ± 7 pp)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± 38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CMPC (29,5 % ± 3 pp)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± 22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Uplift OpEx (±20 %)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± 18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Commission tarifaire (15 bps ± 4)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± 16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Délai de lancement (±6 mois)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± 14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Marge EBITDA TV (74,8 % ± 5 pp)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± 11</w:t>
            </w:r>
          </w:p>
        </w:tc>
      </w:tr>
    </w:tbl>
    <w:p/>
    <w:p>
      <w:pPr>
        <w:pStyle w:val="Heading3"/>
      </w:pPr>
      <w:r>
        <w:t>8.5. Simulation (2 000 itérations)</w:t>
      </w:r>
    </w:p>
    <w:p>
      <w:pPr>
        <w:jc w:val="both"/>
      </w:pPr>
      <w:r>
        <w:t>Générateur à graine fixe 20260907 — le calcul est reproductible. Sont variés : la part de marché de l’année 10 (loi triangulaire 7–25 %, mode 18 %), le taux d’actualisation (uniforme 27–33 %), l’écart des charges (uniforme de moins 10 % à plus 30 %), le retard de lancement (0/1/2/3 ans avec des probabilités de 40/30/20/10 %).</w:t>
      </w:r>
    </w:p>
    <w:p>
      <w:pPr>
        <w:pStyle w:val="ListBullet"/>
      </w:pPr>
      <w:r>
        <w:t>Médiane de la valeur d’entreprise — 39,2 Md ₽.</w:t>
      </w:r>
    </w:p>
    <w:p>
      <w:pPr>
        <w:pStyle w:val="ListBullet"/>
      </w:pPr>
      <w:r>
        <w:t>P10–P90 — 18,5–65,8 Md ₽.</w:t>
      </w:r>
    </w:p>
    <w:p>
      <w:pPr>
        <w:pStyle w:val="ListBullet"/>
      </w:pPr>
      <w:r>
        <w:t>P5 — 14,7 Md ₽ ; P95 — 73,5 Md ₽.</w:t>
      </w:r>
    </w:p>
    <w:p>
      <w:pPr>
        <w:pStyle w:val="ListBullet"/>
      </w:pPr>
      <w:r>
        <w:t>Probabilité d’une valeur supérieure à 50 Md ₽ — 29,6 %.</w:t>
      </w:r>
    </w:p>
    <w:p>
      <w:pPr>
        <w:pStyle w:val="ListBullet"/>
      </w:pPr>
      <w:r>
        <w:t>Probabilité d’une valeur négative — 0,0 %.</w:t>
      </w:r>
    </w:p>
    <w:p>
      <w:pPr>
        <w:ind w:left="360"/>
      </w:pPr>
      <w:r>
        <w:rPr>
          <w:i/>
          <w:color w:val="444444"/>
        </w:rPr>
        <w:t>La médiane de la simulation est inférieure au scénario de base (63,0 Md ₽) parce que la simulation tient compte de la probabilité d’un retard de lancement. L’édition précédente citait une médiane de 94 Md ₽ et une probabilité de valeur négative de 4,2 % alors qu’aucun calcul de ce type n’existait.</w:t>
      </w:r>
    </w:p>
    <w:p>
      <w:pPr>
        <w:pStyle w:val="Heading3"/>
      </w:pPr>
      <w:r>
        <w:t>8.6. Coussin de trésorerie</w:t>
      </w:r>
    </w:p>
    <w:p>
      <w:pPr>
        <w:pStyle w:val="ListBullet"/>
      </w:pPr>
      <w:r>
        <w:t xml:space="preserve">Le pic de besoin de financement est de </w:t>
      </w:r>
      <w:r>
        <w:rPr>
          <w:b/>
        </w:rPr>
        <w:t>1 701 M ₽</w:t>
      </w:r>
      <w:r>
        <w:t xml:space="preserve"> (fin 2028).</w:t>
      </w:r>
    </w:p>
    <w:p>
      <w:pPr>
        <w:pStyle w:val="ListBullet"/>
      </w:pPr>
      <w:r>
        <w:t>Le tour de démarrage de 1 800 M ₽ (25 M $) le couvre avec un coussin de 99 M ₽ — environ</w:t>
      </w:r>
    </w:p>
    <w:p>
      <w:pPr>
        <w:jc w:val="both"/>
      </w:pPr>
      <w:r>
        <w:t>6 %.</w:t>
      </w:r>
    </w:p>
    <w:p>
      <w:pPr>
        <w:pStyle w:val="ListBullet"/>
      </w:pPr>
      <w:r>
        <w:t xml:space="preserve">En cas de retard d'un an au lancement, le besoin monte à </w:t>
      </w:r>
      <w:r>
        <w:rPr>
          <w:b/>
        </w:rPr>
        <w:t>3 438 M ₽</w:t>
      </w:r>
      <w:r>
        <w:t xml:space="preserve"> : le coussin ne</w:t>
      </w:r>
    </w:p>
    <w:p>
      <w:pPr>
        <w:jc w:val="both"/>
      </w:pPr>
      <w:r>
        <w:t>suffit plus et une seconde tranche devient nécessaire.</w:t>
      </w:r>
    </w:p>
    <w:p>
      <w:pPr>
        <w:pStyle w:val="ListBullet"/>
      </w:pPr>
      <w:r>
        <w:rPr>
          <w:b/>
        </w:rPr>
        <w:t>Conclusion :</w:t>
      </w:r>
      <w:r>
        <w:t xml:space="preserve"> le tour couvre le besoin calculé, mais le coussin est mince. La date de</w:t>
      </w:r>
    </w:p>
    <w:p>
      <w:pPr>
        <w:jc w:val="both"/>
      </w:pPr>
      <w:r>
        <w:t>lancement est le premier paramètre à surveiller, et un financement relais gagne à être préparé à l'avance plutôt qu'une fois l'écart constaté.</w:t>
      </w:r>
    </w:p>
    <w:p>
      <w:pPr>
        <w:pStyle w:val="Heading2"/>
      </w:pPr>
      <w:r>
        <w:t>9. Comparaison avec les références internationales (2026)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Projet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Juridiction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Pre-money à un stade comparable, M $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Securitize (Series C, 2026)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États-Unis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980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Tokeny (Series A, 2025)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Luxembourg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60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Polymath (Series A, 2025)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Canada / Barbade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HQLAx (Series B, 2026)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Suisse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180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Atomyze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Russie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~85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Valeur d'entrée calculée, CPFSR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Russie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248</w:t>
            </w:r>
          </w:p>
        </w:tc>
      </w:tr>
    </w:tbl>
    <w:p/>
    <w:p>
      <w:pPr>
        <w:jc w:val="both"/>
      </w:pPr>
      <w:r>
        <w:t>La valeur calculée dépasse les transactions Série A comparables portant sur des plateformes de tokenisation d'actifs. Les comparables soutiennent la partie basse de la fourchette calculée (164 M $) et non son point de base ; l'écart s'explique par l'ampleur de l'assiette de garanties intégrée à l'approche par le revenu et n'est confirmé par aucune transaction réalisée sur le projet.</w:t>
      </w:r>
    </w:p>
    <w:p>
      <w:pPr>
        <w:pStyle w:val="Heading2"/>
      </w:pPr>
      <w:r>
        <w:t>10. Ce qui a changé après le recalcul</w:t>
      </w:r>
    </w:p>
    <w:p>
      <w:pPr>
        <w:pStyle w:val="ListBullet"/>
      </w:pPr>
      <w:r>
        <w:t>Les paramètres macro correspondent aux données de la Banque de Russie (taux directeur</w:t>
      </w:r>
    </w:p>
    <w:p>
      <w:pPr>
        <w:jc w:val="both"/>
      </w:pPr>
      <w:r>
        <w:t>14,0 %, change 71,55) et sont reproductibles par un analyste indépendant.</w:t>
      </w:r>
    </w:p>
    <w:p>
      <w:pPr>
        <w:pStyle w:val="ListBullet"/>
      </w:pPr>
      <w:r>
        <w:t>La prime pays n'est plus comptée deux fois dans le taux d'actualisation ; le taux de 29,58 %</w:t>
      </w:r>
    </w:p>
    <w:p>
      <w:pPr>
        <w:jc w:val="both"/>
      </w:pPr>
      <w:r>
        <w:t>est construit pas à pas.</w:t>
      </w:r>
    </w:p>
    <w:p>
      <w:pPr>
        <w:pStyle w:val="ListBullet"/>
      </w:pPr>
      <w:r>
        <w:t>La courbe d'EBITDA est déduite des postes de charges : la marge de l'année terminale est de</w:t>
      </w:r>
    </w:p>
    <w:p>
      <w:pPr>
        <w:jc w:val="both"/>
      </w:pPr>
      <w:r>
        <w:t>75,1 % (les éditions précédentes déclaraient 96,9 %).</w:t>
      </w:r>
    </w:p>
    <w:p>
      <w:pPr>
        <w:pStyle w:val="ListBullet"/>
      </w:pPr>
      <w:r>
        <w:t>La valeur terminale est calculée par une seule méthode (Gordon, g = 4 %) ; sa part dans la</w:t>
      </w:r>
    </w:p>
    <w:p>
      <w:pPr>
        <w:jc w:val="both"/>
      </w:pPr>
      <w:r>
        <w:t>valeur d'entreprise est de 38 %.</w:t>
      </w:r>
    </w:p>
    <w:p>
      <w:pPr>
        <w:pStyle w:val="ListBullet"/>
      </w:pPr>
      <w:r>
        <w:t>Le multiple investisseur est de 18,4× pour une sortie en 2033, avec un TRI investisseur de</w:t>
      </w:r>
    </w:p>
    <w:p>
      <w:pPr>
        <w:jc w:val="both"/>
      </w:pPr>
      <w:r>
        <w:t>51,6 %. Le taux de rendement interne du projet (182 %) n'est pas cité en négociation : il traduit l'incomplétude du modèle sur le coût d'entrée sur le marché.</w:t>
      </w:r>
    </w:p>
    <w:p>
      <w:pPr>
        <w:pStyle w:val="ListBullet"/>
      </w:pPr>
      <w:r>
        <w:t>La simulation (2 000 itérations, graine fixée), le diagramme tornado, le stress sur le</w:t>
      </w:r>
    </w:p>
    <w:p>
      <w:pPr>
        <w:jc w:val="both"/>
      </w:pPr>
      <w:r>
        <w:t>coussin de trésorerie et l'analyse du retard de lancement sont calculés par programme.</w:t>
      </w:r>
    </w:p>
    <w:p>
      <w:pPr>
        <w:pStyle w:val="ListBullet"/>
      </w:pPr>
      <w:r>
        <w:t>La décote de stade est appliquée une seule fois.</w:t>
      </w:r>
    </w:p>
    <w:p>
      <w:pPr>
        <w:pStyle w:val="ListBullet"/>
      </w:pPr>
      <w:r>
        <w:t>Tous les chiffres proviennent d'un jeu unique d'hypothèses</w:t>
      </w:r>
    </w:p>
    <w:p>
      <w:pPr>
        <w:jc w:val="both"/>
      </w:pPr>
      <w:r>
        <w:t>(</w:t>
      </w:r>
      <w:r>
        <w:rPr>
          <w:rFonts w:ascii="Consolas" w:hAnsi="Consolas"/>
          <w:sz w:val="18"/>
        </w:rPr>
        <w:t>03_Финансовая_модель/Модель/assumptions.json</w:t>
      </w:r>
      <w:r>
        <w:t>) et sont rapprochés automatiquement.</w:t>
      </w:r>
    </w:p>
    <w:p>
      <w:pPr>
        <w:jc w:val="both"/>
      </w:pPr>
      <w:r>
        <w:t>Maturité du dispositif d'évaluation pour un examen par un analyste indépendant : le calcul est reproductible, les hypothèses et les exports sont ouverts.</w:t>
      </w:r>
    </w:p>
    <w:p>
      <w:pPr>
        <w:pStyle w:val="Heading2"/>
      </w:pPr>
      <w:r>
        <w:t>11. Limites et réserves</w:t>
      </w:r>
    </w:p>
    <w:p>
      <w:pPr>
        <w:pStyle w:val="ListNumber"/>
      </w:pPr>
      <w:r>
        <w:rPr>
          <w:b/>
        </w:rPr>
        <w:t>Norme IVS 2025</w:t>
      </w:r>
      <w:r>
        <w:t xml:space="preserve"> : l'évaluation applique les approches IVS 105–106.</w:t>
      </w:r>
    </w:p>
    <w:p>
      <w:pPr>
        <w:pStyle w:val="ListNumber"/>
      </w:pPr>
      <w:r>
        <w:rPr>
          <w:b/>
        </w:rPr>
        <w:t>Date de calcul</w:t>
      </w:r>
      <w:r>
        <w:t xml:space="preserve"> : 07.09.2026 (indicateurs v5). Le taux de change et le rendement des OFZ</w:t>
      </w:r>
    </w:p>
    <w:p>
      <w:pPr>
        <w:jc w:val="both"/>
      </w:pPr>
      <w:r>
        <w:t>sont figés à fin mai 2026 et doivent être actualisés avant toute présentation à un investisseur. La valeur d'entrée est révisable si le taux directeur varie de plus de 200 pdb, le change de plus de 10 %, ou si le régime réglementaire change.</w:t>
      </w:r>
    </w:p>
    <w:p>
      <w:pPr>
        <w:pStyle w:val="ListNumber"/>
      </w:pPr>
      <w:r>
        <w:rPr>
          <w:b/>
        </w:rPr>
        <w:t>Dépendance réglementaire</w:t>
      </w:r>
      <w:r>
        <w:t xml:space="preserve"> : le facteur binaire d'adoption du paquet législatif (horizon</w:t>
      </w:r>
    </w:p>
    <w:p>
      <w:pPr>
        <w:jc w:val="both"/>
      </w:pPr>
      <w:r>
        <w:t>T+36 à T+60 mois) peut déplacer la valeur calculée d'un multiple (de ×0,15 à ×1,5).</w:t>
      </w:r>
    </w:p>
    <w:p>
      <w:pPr>
        <w:pStyle w:val="ListNumber"/>
      </w:pPr>
      <w:r>
        <w:rPr>
          <w:b/>
        </w:rPr>
        <w:t>Indépendance de l'évaluateur</w:t>
      </w:r>
      <w:r>
        <w:t xml:space="preserve"> : le document est établi au sein du pack projet et ne</w:t>
      </w:r>
    </w:p>
    <w:p>
      <w:pPr>
        <w:jc w:val="both"/>
      </w:pPr>
      <w:r>
        <w:t>constitue pas un rapport d'évaluation indépendant au sens de 135-FZ. Une évaluation officielle exige un évaluateur indépendant membre d'une organisation autorégulée.</w:t>
      </w:r>
    </w:p>
    <w:p>
      <w:pPr>
        <w:pStyle w:val="ListNumber"/>
      </w:pPr>
      <w:r>
        <w:rPr>
          <w:b/>
        </w:rPr>
        <w:t>Demande non vérifiée</w:t>
      </w:r>
      <w:r>
        <w:t xml:space="preserve"> : aucune lettre d'intention signée avec une banque ou un assureur ;</w:t>
      </w:r>
    </w:p>
    <w:p>
      <w:pPr>
        <w:jc w:val="both"/>
      </w:pPr>
      <w:r>
        <w:t>la part de marché est une hypothèse.</w:t>
      </w:r>
    </w:p>
    <w:p>
      <w:pPr>
        <w:pStyle w:val="ListNumber"/>
      </w:pPr>
      <w:r>
        <w:rPr>
          <w:b/>
        </w:rPr>
        <w:t>Mode wedge</w:t>
      </w:r>
      <w:r>
        <w:t xml:space="preserve"> : le projet dispose d'une configuration pilot-light valide sous le 259-FZ en</w:t>
      </w:r>
    </w:p>
    <w:p>
      <w:pPr>
        <w:jc w:val="both"/>
      </w:pPr>
      <w:r>
        <w:t xml:space="preserve">vigueur (sans amendement au 86-FZ) — voir </w:t>
      </w:r>
      <w:r>
        <w:rPr>
          <w:rFonts w:ascii="Consolas" w:hAnsi="Consolas"/>
          <w:sz w:val="18"/>
        </w:rPr>
        <w:t>04_Бизнес-план/Wedge_pilot-light.md</w:t>
      </w:r>
      <w:r>
        <w:t>.</w:t>
      </w:r>
    </w:p>
    <w:p>
      <w:pPr>
        <w:pStyle w:val="Heading2"/>
      </w:pPr>
      <w:r>
        <w:t>12. Conclusion finale</w:t>
      </w:r>
    </w:p>
    <w:p>
      <w:pPr>
        <w:jc w:val="both"/>
      </w:pPr>
      <w:r>
        <w:rPr>
          <w:b/>
        </w:rPr>
        <w:t>Valeur d'entrée calculée de CPFSR au stade « MVP + partie client achevée » (calcul du 07.09.2026) :</w:t>
      </w:r>
    </w:p>
    <w:p>
      <w:pPr>
        <w:pStyle w:val="ListBullet"/>
      </w:pPr>
      <w:r>
        <w:rPr>
          <w:b/>
        </w:rPr>
        <w:t>Valeur de base :</w:t>
      </w:r>
      <w:r>
        <w:t xml:space="preserve"> 248 M $ (environ 17,74 Md ₽).</w:t>
      </w:r>
    </w:p>
    <w:p>
      <w:pPr>
        <w:pStyle w:val="ListBullet"/>
      </w:pPr>
      <w:r>
        <w:rPr>
          <w:b/>
        </w:rPr>
        <w:t>Fourchette par scénarios :</w:t>
      </w:r>
      <w:r>
        <w:t xml:space="preserve"> 164–301 M $ (11,74–21,56 Md ₽).</w:t>
      </w:r>
    </w:p>
    <w:p>
      <w:pPr>
        <w:pStyle w:val="ListBullet"/>
      </w:pPr>
      <w:r>
        <w:rPr>
          <w:b/>
        </w:rPr>
        <w:t>Valeur d'entreprise attendue sur trois scénarios :</w:t>
      </w:r>
      <w:r>
        <w:t xml:space="preserve"> 64,7 Md ₽.</w:t>
      </w:r>
    </w:p>
    <w:p>
      <w:pPr>
        <w:pStyle w:val="ListBullet"/>
      </w:pPr>
      <w:r>
        <w:rPr>
          <w:b/>
        </w:rPr>
        <w:t>Approche par le revenu (point haut de la pondération) :</w:t>
      </w:r>
      <w:r>
        <w:t xml:space="preserve"> 352 M $.</w:t>
      </w:r>
    </w:p>
    <w:p>
      <w:pPr>
        <w:jc w:val="both"/>
      </w:pPr>
      <w:r>
        <w:t xml:space="preserve">Pour un tour de démarrage de 25 M $ (1,8 Md ₽), la structure donne à l'investisseur </w:t>
      </w:r>
      <w:r>
        <w:rPr>
          <w:b/>
        </w:rPr>
        <w:t>9,21 %</w:t>
      </w:r>
      <w:r>
        <w:t xml:space="preserve"> pour un post-money de 273 M $ (19,54 Md ₽).</w:t>
      </w:r>
    </w:p>
    <w:p>
      <w:pPr>
        <w:ind w:left="360"/>
      </w:pPr>
      <w:r>
        <w:rPr>
          <w:i/>
          <w:color w:val="444444"/>
        </w:rPr>
        <w:t>Il s'agit d'une valeur calculée et non d'un prix de marché : aucune transaction n'a été conclue sur le projet, l'écart entre approches est de douze fois, et les approches destinées à un stade précoce donnent 20–35 M $. La décision sur le prix de négociation appartient au propriétaire du projet.</w:t>
      </w:r>
    </w:p>
    <w:p>
      <w:pPr>
        <w:jc w:val="both"/>
      </w:pPr>
      <w:r>
        <w:rPr>
          <w:b/>
        </w:rPr>
        <w:t>Niveau de maturité du projet (TRL/IRL) :</w:t>
      </w:r>
    </w:p>
    <w:p>
      <w:pPr>
        <w:pStyle w:val="ListBullet"/>
      </w:pPr>
      <w:r>
        <w:t>Concept, juridique, financier, technique, design — finalisés.</w:t>
      </w:r>
    </w:p>
    <w:p>
      <w:pPr>
        <w:pStyle w:val="ListBullet"/>
      </w:pPr>
      <w:r>
        <w:t>Wedge pilot-light sous 259-FZ existant — formalisé.</w:t>
      </w:r>
    </w:p>
    <w:p>
      <w:pPr>
        <w:pStyle w:val="ListBullet"/>
      </w:pPr>
      <w:r>
        <w:t>Application mobile client PWA — prête pour publication (Service Worker + offline.html + icônes PNG 192/512/1024 + mipmap + screenshots + feature graphic).</w:t>
      </w:r>
    </w:p>
    <w:p>
      <w:pPr>
        <w:pStyle w:val="ListBullet"/>
      </w:pPr>
      <w:r>
        <w:t>Documentation de conception GOST 19 (13 documents avec numérotation correcte) — finalisée.</w:t>
      </w:r>
    </w:p>
    <w:p>
      <w:pPr>
        <w:pStyle w:val="ListBullet"/>
      </w:pPr>
      <w:r>
        <w:t>Builds plateforme (Android / iOS / Windows) — préparés.</w:t>
      </w:r>
    </w:p>
    <w:p>
      <w:pPr>
        <w:pStyle w:val="ListBullet"/>
      </w:pPr>
      <w:r>
        <w:t>Pack publication RuStore — assemblé ; publicité de service sous licence retirée.</w:t>
      </w:r>
    </w:p>
    <w:p>
      <w:pPr>
        <w:pStyle w:val="ListBullet"/>
      </w:pPr>
      <w:r>
        <w:t>Partie serveur — en développement (12–18 mois jusqu'au lancement industriel).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