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Учреждение АО-оператора и регуляторная регистрация</w:t>
      </w:r>
    </w:p>
    <w:p>
      <w:pPr>
        <w:jc w:val="both"/>
      </w:pPr>
      <w:r>
        <w:rPr>
          <w:b/>
        </w:rPr>
        <w:t>Документ:</w:t>
      </w:r>
      <w:r>
        <w:t xml:space="preserve"> проект учреждения оператора-юридического лица и план параллельной регуляторной регистрации. </w:t>
      </w:r>
      <w:r>
        <w:rPr>
          <w:b/>
        </w:rPr>
        <w:t>Цель:</w:t>
      </w:r>
      <w:r>
        <w:t xml:space="preserve"> закрыть RED-флаги B5 (отсутствие корпоративного оператора) и B6 (отсутствие регистрации в РКН) сводного аудита от 24.05.2026. </w:t>
      </w:r>
      <w:r>
        <w:rPr>
          <w:b/>
        </w:rPr>
        <w:t>Автор концепции и единственный учредитель:</w:t>
      </w:r>
      <w:r>
        <w:t xml:space="preserve"> Кагиров Абдул-Хаким Ахмадович (свидетельство о депонировании №4011265 от 19.12.2024). </w:t>
      </w:r>
      <w:r>
        <w:rPr>
          <w:b/>
        </w:rPr>
        <w:t>Дата:</w:t>
      </w:r>
      <w:r>
        <w:t xml:space="preserve"> 24.05.2026.</w:t>
      </w:r>
    </w:p>
    <w:p>
      <w:pPr>
        <w:pStyle w:val="Heading2"/>
      </w:pPr>
      <w:r>
        <w:t>1. Корпоративная структура</w:t>
      </w:r>
    </w:p>
    <w:p>
      <w:pPr>
        <w:pStyle w:val="Heading3"/>
      </w:pPr>
      <w:r>
        <w:t>1.1. Тип юридического лица</w:t>
      </w:r>
    </w:p>
    <w:p>
      <w:pPr>
        <w:jc w:val="both"/>
      </w:pPr>
      <w:r>
        <w:rPr>
          <w:b/>
        </w:rPr>
        <w:t>АО «ЦП РСФСР» (непубличное акционерное общество, ст. 7 ФЗ от 26.12.1995 №208-ФЗ «Об АО»).</w:t>
      </w:r>
    </w:p>
    <w:p>
      <w:pPr>
        <w:jc w:val="both"/>
      </w:pPr>
      <w:r>
        <w:t>Обоснование выбора формы:</w:t>
      </w:r>
    </w:p>
    <w:p>
      <w:pPr>
        <w:pStyle w:val="ListBullet"/>
      </w:pPr>
      <w:r>
        <w:t>Соответствует ст. 5 ч. 1 259-ФЗ (требование к оператору ИС ЦФА — непубличное АО, ООО или кредитная организация).</w:t>
      </w:r>
    </w:p>
    <w:p>
      <w:pPr>
        <w:pStyle w:val="ListBullet"/>
      </w:pPr>
      <w:r>
        <w:t>Позволяет точечно работать с инвесторами через выпуск привилегированных акций.</w:t>
      </w:r>
    </w:p>
    <w:p>
      <w:pPr>
        <w:pStyle w:val="ListBullet"/>
      </w:pPr>
      <w:r>
        <w:t>Допускает участие в межведомственных проектах уровня ВЭБ.РФ / Минэк.</w:t>
      </w:r>
    </w:p>
    <w:p>
      <w:pPr>
        <w:pStyle w:val="Heading3"/>
      </w:pPr>
      <w:r>
        <w:t>1.2. Уставный капитал и собственные средства</w:t>
      </w:r>
    </w:p>
    <w:p>
      <w:pPr>
        <w:jc w:val="both"/>
      </w:pPr>
      <w:r>
        <w:rPr>
          <w:b/>
        </w:rPr>
        <w:t>Внимание (правовая дифференциация по 208-ФЗ vs Указанию ЦБ 4336-У):</w:t>
      </w:r>
      <w:r>
        <w:t xml:space="preserve"> уставный капитал (ст. 25 208-ФЗ) и собственные средства оператора ИС ЦФА (Указание ЦБ 4336-У в развитие 779-П) — разные категории. Для получения статуса оператора ИС ЦФА требуется одновременно:</w:t>
      </w:r>
    </w:p>
    <w:p>
      <w:pPr>
        <w:pStyle w:val="ListBullet"/>
      </w:pPr>
      <w:r>
        <w:rPr>
          <w:b/>
        </w:rPr>
        <w:t>Уставный капитал АО:</w:t>
      </w:r>
      <w:r>
        <w:t xml:space="preserve"> не менее 100 000 ₽ (минимум по ст. 26 208-ФЗ для непубличного АО). На учреждении планируется ≥ 10 000 000 ₽ оплаченных обыкновенных акций.</w:t>
      </w:r>
    </w:p>
    <w:p>
      <w:pPr>
        <w:pStyle w:val="ListBullet"/>
      </w:pPr>
      <w:r>
        <w:rPr>
          <w:b/>
        </w:rPr>
        <w:t>Собственные средства (капитал) ≥ 50 000 000 ₽</w:t>
      </w:r>
      <w:r>
        <w:t xml:space="preserve"> (требование п. 1.2 Указания ЦБ 4336-У). Формируются за счёт оплаченного УК, эмиссионного дохода, нераспределённой прибыли и иных источников по методике ЦБ. Подтверждаются аудиторским заключением.</w:t>
      </w:r>
    </w:p>
    <w:p>
      <w:pPr>
        <w:jc w:val="both"/>
      </w:pPr>
      <w:r>
        <w:t>Структура на момент учреждения:</w:t>
      </w:r>
    </w:p>
    <w:p>
      <w:pPr>
        <w:pStyle w:val="ListBullet"/>
      </w:pPr>
      <w:r>
        <w:t>100% обыкновенных акций — у учредителя.</w:t>
      </w:r>
    </w:p>
    <w:p>
      <w:pPr>
        <w:pStyle w:val="ListBullet"/>
      </w:pPr>
      <w:r>
        <w:t>УК ≥ 10 млн ₽ + взнос в добавочный капитал/эмиссионный доход после Seed-раунда обеспечивают совокупные собственные средства ≥ 50 млн ₽ к моменту подачи заявления в реестр операторов ИС ЦФА.</w:t>
      </w:r>
    </w:p>
    <w:p>
      <w:pPr>
        <w:pStyle w:val="ListBullet"/>
      </w:pPr>
      <w:r>
        <w:t>На дальнейших раундах — выпуск привилегированных акций со специальными правами (защита от размывания контроля).</w:t>
      </w:r>
    </w:p>
    <w:p>
      <w:pPr>
        <w:pStyle w:val="Heading3"/>
      </w:pPr>
      <w:r>
        <w:t>1.3. Должностные лица (соответствие 779-П)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Должность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Требование 779-П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Срок назначения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Генеральный директор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Высшее экономическое/юридическое; ≥3 лет опыта на руководящих позициях в финсекторе; квалификационное соответствие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мес. после учреждения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Председатель Совета директоров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Независимый; репутация подтверждена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Главный комплаенс-офицер (HOC)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Сертификат ICA / IRM / ACAMS или эквивалент; ≥5 лет опыта в AML/KYC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Главный информационный безопасник (CISO)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ФСТЭК-сертификат; ≥5 лет опыта по КИИ-1 / УЗ-1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Главный юрист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Специализация по 259-ФЗ / 779-П / 152-ФЗ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Главный риск-офицер (CRO)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FRM / PRM или эквивалент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Внутренний аудитор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Член СРО аудиторов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Главный бухгалтер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Соответствие ст. 7 ФЗ №402-ФЗ «О бухучёте», требования ст. 11.1 86-ФЗ к должностным лицам финансовой инфраструктуры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мес.</w:t>
            </w:r>
          </w:p>
        </w:tc>
      </w:tr>
    </w:tbl>
    <w:p/>
    <w:p>
      <w:pPr>
        <w:pStyle w:val="Heading3"/>
      </w:pPr>
      <w:r>
        <w:t>1.4. Учредительные документы</w:t>
      </w:r>
    </w:p>
    <w:p>
      <w:pPr>
        <w:jc w:val="both"/>
      </w:pPr>
      <w:r>
        <w:t>В рамках учреждения готовится пакет:</w:t>
      </w:r>
    </w:p>
    <w:p>
      <w:pPr>
        <w:pStyle w:val="ListNumber"/>
      </w:pPr>
      <w:r>
        <w:rPr>
          <w:b/>
        </w:rPr>
        <w:t>Устав АО «ЦП РСФСР»</w:t>
      </w:r>
      <w:r>
        <w:t xml:space="preserve"> (на основе типового устава, с учётом специальных положений по 779-П).</w:t>
      </w:r>
    </w:p>
    <w:p>
      <w:pPr>
        <w:pStyle w:val="ListNumber"/>
      </w:pPr>
      <w:r>
        <w:rPr>
          <w:b/>
        </w:rPr>
        <w:t>Решение единственного учредителя</w:t>
      </w:r>
      <w:r>
        <w:t xml:space="preserve"> о создании АО.</w:t>
      </w:r>
    </w:p>
    <w:p>
      <w:pPr>
        <w:pStyle w:val="ListNumber"/>
      </w:pPr>
      <w:r>
        <w:rPr>
          <w:b/>
        </w:rPr>
        <w:t>Договор о создании АО</w:t>
      </w:r>
      <w:r>
        <w:t>.</w:t>
      </w:r>
    </w:p>
    <w:p>
      <w:pPr>
        <w:pStyle w:val="ListNumber"/>
      </w:pPr>
      <w:r>
        <w:rPr>
          <w:b/>
        </w:rPr>
        <w:t>Заявление о государственной регистрации</w:t>
      </w:r>
      <w:r>
        <w:t xml:space="preserve"> (форма Р11001) в ФНС.</w:t>
      </w:r>
    </w:p>
    <w:p>
      <w:pPr>
        <w:pStyle w:val="ListNumber"/>
      </w:pPr>
      <w:r>
        <w:rPr>
          <w:b/>
        </w:rPr>
        <w:t>Документ об оплате уставного капитала</w:t>
      </w:r>
      <w:r>
        <w:t xml:space="preserve"> (в момент учреждения — не менее 50% УК).</w:t>
      </w:r>
    </w:p>
    <w:p>
      <w:pPr>
        <w:jc w:val="both"/>
      </w:pPr>
      <w:r>
        <w:t xml:space="preserve">Подготовка пакета — </w:t>
      </w:r>
      <w:r>
        <w:rPr>
          <w:b/>
        </w:rPr>
        <w:t>T+0…T+2 мес.</w:t>
      </w:r>
      <w:r>
        <w:t xml:space="preserve"> с момента принятия решения о запуске.</w:t>
      </w:r>
    </w:p>
    <w:p>
      <w:pPr>
        <w:pStyle w:val="Heading3"/>
      </w:pPr>
      <w:r>
        <w:t>1.5. Структура собственности (целевая)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Стадия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Учредитель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Инвестор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Госкапитал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Топ-менеджмент (ESOP)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Учреждение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После стартового раунда 1,8 млрд ₽ ($25 млн)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85,8%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9,21%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5,0% (ESOP)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После Series A (T+18 мес.)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64%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11% (ESOP + новые)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После Series B с госкапиталом (T+36 мес.)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48%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12%</w:t>
            </w:r>
          </w:p>
        </w:tc>
      </w:tr>
    </w:tbl>
    <w:p/>
    <w:p>
      <w:pPr>
        <w:pStyle w:val="Heading2"/>
      </w:pPr>
      <w:r>
        <w:t>2. Постановка на регуляторный учёт (параллельно с учреждением)</w:t>
      </w:r>
    </w:p>
    <w:p>
      <w:pPr>
        <w:pStyle w:val="Heading3"/>
      </w:pPr>
      <w:r>
        <w:t>2.1. Регистрация оператора персональных данных (152-ФЗ ст. 22)</w:t>
      </w:r>
    </w:p>
    <w:p>
      <w:pPr>
        <w:jc w:val="both"/>
      </w:pPr>
      <w:r>
        <w:rPr>
          <w:b/>
        </w:rPr>
        <w:t>Срок:</w:t>
      </w:r>
      <w:r>
        <w:t xml:space="preserve"> уведомление в Роскомнадзор — </w:t>
      </w:r>
      <w:r>
        <w:rPr>
          <w:b/>
        </w:rPr>
        <w:t>T+0,5 мес.</w:t>
      </w:r>
      <w:r>
        <w:t xml:space="preserve"> (до начала любой обработки ПДн пользователей в demo-приложении).</w:t>
      </w:r>
    </w:p>
    <w:p>
      <w:pPr>
        <w:jc w:val="both"/>
      </w:pPr>
      <w:r>
        <w:rPr>
          <w:b/>
        </w:rPr>
        <w:t>Состав уведомления:</w:t>
      </w:r>
    </w:p>
    <w:p>
      <w:pPr>
        <w:pStyle w:val="ListBullet"/>
      </w:pPr>
      <w:r>
        <w:t>Цели обработки ПДн.</w:t>
      </w:r>
    </w:p>
    <w:p>
      <w:pPr>
        <w:pStyle w:val="ListBullet"/>
      </w:pPr>
      <w:r>
        <w:t>Категории ПДн (ФИО, ИНН, СНИЛС, биометрия по 572-ФЗ, паспортные данные).</w:t>
      </w:r>
    </w:p>
    <w:p>
      <w:pPr>
        <w:pStyle w:val="ListBullet"/>
      </w:pPr>
      <w:r>
        <w:t>Категории субъектов ПДн.</w:t>
      </w:r>
    </w:p>
    <w:p>
      <w:pPr>
        <w:pStyle w:val="ListBullet"/>
      </w:pPr>
      <w:r>
        <w:t>Перечень действий (сбор, запись, систематизация, хранение, использование, передача, удаление).</w:t>
      </w:r>
    </w:p>
    <w:p>
      <w:pPr>
        <w:pStyle w:val="ListBullet"/>
      </w:pPr>
      <w:r>
        <w:t>Описание мер защиты (ПП РФ №1119, приказы ФСТЭК №21 / ФСБ).</w:t>
      </w:r>
    </w:p>
    <w:p>
      <w:pPr>
        <w:pStyle w:val="ListBullet"/>
      </w:pPr>
      <w:r>
        <w:t>Сведения о трансграничной передаче (отсутствует).</w:t>
      </w:r>
    </w:p>
    <w:p>
      <w:pPr>
        <w:pStyle w:val="ListBullet"/>
      </w:pPr>
      <w:r>
        <w:t>Дата начала обработки.</w:t>
      </w:r>
    </w:p>
    <w:p>
      <w:pPr>
        <w:pStyle w:val="ListBullet"/>
      </w:pPr>
      <w:r>
        <w:t>Срок обработки.</w:t>
      </w:r>
    </w:p>
    <w:p>
      <w:pPr>
        <w:jc w:val="both"/>
      </w:pPr>
      <w:r>
        <w:rPr>
          <w:b/>
        </w:rPr>
        <w:t>Статус на 24.05.2026 в demo-приложении:</w:t>
      </w:r>
      <w:r>
        <w:t xml:space="preserve"> реальные ПДн не собираются; уведомление РКН подаётся одновременно с регистрацией АО, чтобы исключить состав ст. 13.11 КоАП.</w:t>
      </w:r>
    </w:p>
    <w:p>
      <w:pPr>
        <w:pStyle w:val="Heading3"/>
      </w:pPr>
      <w:r>
        <w:t>2.2. Постановка на учёт в Росфинмониторинге (115-ФЗ)</w:t>
      </w:r>
    </w:p>
    <w:p>
      <w:pPr>
        <w:jc w:val="both"/>
      </w:pPr>
      <w:r>
        <w:rPr>
          <w:b/>
        </w:rPr>
        <w:t>Срок:</w:t>
      </w:r>
      <w:r>
        <w:t xml:space="preserve"> </w:t>
      </w:r>
      <w:r>
        <w:rPr>
          <w:b/>
        </w:rPr>
        <w:t>T+1 мес.</w:t>
      </w:r>
      <w:r>
        <w:t xml:space="preserve"> Назначение специального должностного лица по ПОД/ФТ; разработка ПВК (Правила внутреннего контроля); регистрация в Личном кабинете Росфинмониторинга.</w:t>
      </w:r>
    </w:p>
    <w:p>
      <w:pPr>
        <w:pStyle w:val="Heading3"/>
      </w:pPr>
      <w:r>
        <w:t>2.3. Заявка в реестр операторов ИС ЦФА (Банк России, 779-П)</w:t>
      </w:r>
    </w:p>
    <w:p>
      <w:pPr>
        <w:jc w:val="both"/>
      </w:pPr>
      <w:r>
        <w:rPr>
          <w:b/>
        </w:rPr>
        <w:t>Срок:</w:t>
      </w:r>
      <w:r>
        <w:t xml:space="preserve"> </w:t>
      </w:r>
      <w:r>
        <w:rPr>
          <w:b/>
        </w:rPr>
        <w:t>T+3…T+6 мес.</w:t>
      </w:r>
      <w:r>
        <w:t xml:space="preserve"> после учреждения АО и формирования полного комплекта документов.</w:t>
      </w:r>
    </w:p>
    <w:p>
      <w:pPr>
        <w:jc w:val="both"/>
      </w:pPr>
      <w:r>
        <w:rPr>
          <w:b/>
        </w:rPr>
        <w:t>Состав заявки:</w:t>
      </w:r>
    </w:p>
    <w:p>
      <w:pPr>
        <w:pStyle w:val="ListBullet"/>
      </w:pPr>
      <w:r>
        <w:t>Учредительные документы АО.</w:t>
      </w:r>
    </w:p>
    <w:p>
      <w:pPr>
        <w:pStyle w:val="ListBullet"/>
      </w:pPr>
      <w:r>
        <w:t>Сведения о должностных лицах (по 779-П).</w:t>
      </w:r>
    </w:p>
    <w:p>
      <w:pPr>
        <w:pStyle w:val="ListBullet"/>
      </w:pPr>
      <w:r>
        <w:t>Правила ИС (ст. 6 259-ФЗ).</w:t>
      </w:r>
    </w:p>
    <w:p>
      <w:pPr>
        <w:pStyle w:val="ListBullet"/>
      </w:pPr>
      <w:r>
        <w:t>Описание DLT-инфраструктуры (с конкретным DLT-вендором: Мастерчейн / эквивалент).</w:t>
      </w:r>
    </w:p>
    <w:p>
      <w:pPr>
        <w:pStyle w:val="ListBullet"/>
      </w:pPr>
      <w:r>
        <w:t>Меры защиты по ГОСТ Р 57580.1 уровень 4.</w:t>
      </w:r>
    </w:p>
    <w:p>
      <w:pPr>
        <w:pStyle w:val="ListBullet"/>
      </w:pPr>
      <w:r>
        <w:t>Заключение ФСТЭК / ФСБ.</w:t>
      </w:r>
    </w:p>
    <w:p>
      <w:pPr>
        <w:pStyle w:val="ListBullet"/>
      </w:pPr>
      <w:r>
        <w:t>Заключение независимого аудита ИБ.</w:t>
      </w:r>
    </w:p>
    <w:p>
      <w:pPr>
        <w:pStyle w:val="ListBullet"/>
      </w:pPr>
      <w:r>
        <w:t>Документы о соответствии 779-П (бизнес-непрерывность, операционные риски 716-П, СКЗИ).</w:t>
      </w:r>
    </w:p>
    <w:p>
      <w:pPr>
        <w:pStyle w:val="ListBullet"/>
      </w:pPr>
      <w:r>
        <w:t xml:space="preserve">Бизнес-план оператора (на основе </w:t>
      </w:r>
      <w:r>
        <w:rPr>
          <w:rFonts w:ascii="Consolas" w:hAnsi="Consolas"/>
          <w:sz w:val="18"/>
        </w:rPr>
        <w:t>04_Бизнес-план/Бизнес-план_ЦП_РСФСР.md</w:t>
      </w:r>
      <w:r>
        <w:t xml:space="preserve"> после refactor).</w:t>
      </w:r>
    </w:p>
    <w:p>
      <w:pPr>
        <w:pStyle w:val="ListBullet"/>
      </w:pPr>
      <w:r>
        <w:t xml:space="preserve">Финансовая модель (на основе </w:t>
      </w:r>
      <w:r>
        <w:rPr>
          <w:rFonts w:ascii="Consolas" w:hAnsi="Consolas"/>
          <w:sz w:val="18"/>
        </w:rPr>
        <w:t>03_Финансовая_модель/Финансовая_модель_ЦП_РСФСР.md</w:t>
      </w:r>
      <w:r>
        <w:t xml:space="preserve"> после refactor).</w:t>
      </w:r>
    </w:p>
    <w:p>
      <w:pPr>
        <w:pStyle w:val="Heading3"/>
      </w:pPr>
      <w:r>
        <w:t>2.4. Категорирование как КИИ (187-ФЗ, ПП РФ №127)</w:t>
      </w:r>
    </w:p>
    <w:p>
      <w:pPr>
        <w:jc w:val="both"/>
      </w:pPr>
      <w:r>
        <w:rPr>
          <w:b/>
        </w:rPr>
        <w:t>Срок:</w:t>
      </w:r>
      <w:r>
        <w:t xml:space="preserve"> </w:t>
      </w:r>
      <w:r>
        <w:rPr>
          <w:b/>
        </w:rPr>
        <w:t>T+6…T+12 мес.</w:t>
      </w:r>
      <w:r>
        <w:t xml:space="preserve"> (после фактической эксплуатации). Подача в ФСТЭК заявки на категорирование, ожидаемая категория — </w:t>
      </w:r>
      <w:r>
        <w:rPr>
          <w:b/>
        </w:rPr>
        <w:t>1-я (значимый объект КИИ)</w:t>
      </w:r>
      <w:r>
        <w:t>.</w:t>
      </w:r>
    </w:p>
    <w:p>
      <w:pPr>
        <w:pStyle w:val="Heading3"/>
      </w:pPr>
      <w:r>
        <w:t>2.5. Сертификация СКЗИ (ФСБ) и средств защиты (ФСТЭК)</w:t>
      </w:r>
    </w:p>
    <w:p>
      <w:pPr>
        <w:jc w:val="both"/>
      </w:pPr>
      <w:r>
        <w:rPr>
          <w:b/>
        </w:rPr>
        <w:t>Срок:</w:t>
      </w:r>
      <w:r>
        <w:t xml:space="preserve"> </w:t>
      </w:r>
      <w:r>
        <w:rPr>
          <w:b/>
        </w:rPr>
        <w:t>T+9…T+18 мес.</w:t>
      </w:r>
      <w:r>
        <w:t xml:space="preserve"> Получение сертификатов ФСБ на СКЗИ (КриптоПро / СигналКом / эквивалент) и ФСТЭК на средства защиты периметра.</w:t>
      </w:r>
    </w:p>
    <w:p>
      <w:pPr>
        <w:pStyle w:val="Heading3"/>
      </w:pPr>
      <w:r>
        <w:t>2.6. Заявки в Роспатент на регистрацию программ для ЭВМ (ст. 1262 ГК)</w:t>
      </w:r>
    </w:p>
    <w:p>
      <w:pPr>
        <w:jc w:val="both"/>
      </w:pPr>
      <w:r>
        <w:rPr>
          <w:b/>
        </w:rPr>
        <w:t>Срок:</w:t>
      </w:r>
      <w:r>
        <w:t xml:space="preserve"> </w:t>
      </w:r>
      <w:r>
        <w:rPr>
          <w:b/>
        </w:rPr>
        <w:t>T+1…T+3 мес.</w:t>
      </w:r>
      <w:r>
        <w:t xml:space="preserve"> Регистрация четырёх компонентов:</w:t>
      </w:r>
    </w:p>
    <w:p>
      <w:pPr>
        <w:pStyle w:val="ListNumber"/>
      </w:pPr>
      <w:r>
        <w:t>Мобильное приложение (PWA + Capacitor-сборки).</w:t>
      </w:r>
    </w:p>
    <w:p>
      <w:pPr>
        <w:pStyle w:val="ListNumber"/>
      </w:pPr>
      <w:r>
        <w:t>Серверная часть (бэкенд).</w:t>
      </w:r>
    </w:p>
    <w:p>
      <w:pPr>
        <w:pStyle w:val="ListNumber"/>
      </w:pPr>
      <w:r>
        <w:t>DLT-узел оператора.</w:t>
      </w:r>
    </w:p>
    <w:p>
      <w:pPr>
        <w:pStyle w:val="ListNumber"/>
      </w:pPr>
      <w:r>
        <w:t>KYC-модуль.</w:t>
      </w:r>
    </w:p>
    <w:p>
      <w:pPr>
        <w:pStyle w:val="Heading3"/>
      </w:pPr>
      <w:r>
        <w:t>2.7. Заявка на товарный знак (ст. 1477 ГК)</w:t>
      </w:r>
    </w:p>
    <w:p>
      <w:pPr>
        <w:jc w:val="both"/>
      </w:pPr>
      <w:r>
        <w:rPr>
          <w:b/>
        </w:rPr>
        <w:t>Срок:</w:t>
      </w:r>
      <w:r>
        <w:t xml:space="preserve"> </w:t>
      </w:r>
      <w:r>
        <w:rPr>
          <w:b/>
        </w:rPr>
        <w:t>T+1 мес.</w:t>
      </w:r>
      <w:r>
        <w:t xml:space="preserve"> Заявка на регистрацию словесных обозначений «ЦП РСФСР» и «RSFSR» в МКТУ 9 (ПО), 36 (финансовые услуги), 42 (научно-технические услуги).</w:t>
      </w:r>
    </w:p>
    <w:p>
      <w:pPr>
        <w:pStyle w:val="Heading3"/>
      </w:pPr>
      <w:r>
        <w:t>2.8. Запрос Минфину (ст. 34.2 НК)</w:t>
      </w:r>
    </w:p>
    <w:p>
      <w:pPr>
        <w:jc w:val="both"/>
      </w:pPr>
      <w:r>
        <w:rPr>
          <w:b/>
        </w:rPr>
        <w:t>Срок:</w:t>
      </w:r>
      <w:r>
        <w:t xml:space="preserve"> </w:t>
      </w:r>
      <w:r>
        <w:rPr>
          <w:b/>
        </w:rPr>
        <w:t>T+2 мес.</w:t>
      </w:r>
      <w:r>
        <w:t xml:space="preserve"> Письменное обращение в Минфин для получения официальной налоговой квалификации:</w:t>
      </w:r>
    </w:p>
    <w:p>
      <w:pPr>
        <w:pStyle w:val="ListBullet"/>
      </w:pPr>
      <w:r>
        <w:t>мены первоначального ЦФА на инфраструктурный (ст. 39 НК vs ст. 282.2);</w:t>
      </w:r>
    </w:p>
    <w:p>
      <w:pPr>
        <w:pStyle w:val="ListBullet"/>
      </w:pPr>
      <w:r>
        <w:t>статуса оператора как налогового агента по ст. 226.1 / 214.11 НК;</w:t>
      </w:r>
    </w:p>
    <w:p>
      <w:pPr>
        <w:pStyle w:val="ListBullet"/>
      </w:pPr>
      <w:r>
        <w:t>НДС-статуса операций с ЦФА в новой редакции пп. 12.2 п. 2 ст. 149 НК;</w:t>
      </w:r>
    </w:p>
    <w:p>
      <w:pPr>
        <w:pStyle w:val="ListBullet"/>
      </w:pPr>
      <w:r>
        <w:t>статуса для упрощённой идентификации операций по ч. 1.4-2 ст. 7 115-ФЗ.</w:t>
      </w:r>
    </w:p>
    <w:p>
      <w:pPr>
        <w:pStyle w:val="Heading3"/>
      </w:pPr>
      <w:r>
        <w:t>2.9. Заявка в Регуляторную правовой режим (258-ФЗ)</w:t>
      </w:r>
    </w:p>
    <w:p>
      <w:pPr>
        <w:jc w:val="both"/>
      </w:pPr>
      <w:r>
        <w:rPr>
          <w:b/>
        </w:rPr>
        <w:t>Срок:</w:t>
      </w:r>
      <w:r>
        <w:t xml:space="preserve"> </w:t>
      </w:r>
      <w:r>
        <w:rPr>
          <w:b/>
        </w:rPr>
        <w:t>T+3 мес.</w:t>
      </w:r>
      <w:r>
        <w:t xml:space="preserve"> Заявка в Департамент финансовых технологий Банка России на проведение пилот-light (см. </w:t>
      </w:r>
      <w:r>
        <w:rPr>
          <w:rFonts w:ascii="Consolas" w:hAnsi="Consolas"/>
          <w:sz w:val="18"/>
        </w:rPr>
        <w:t>04_Бизнес-план/Wedge_pilot-light.md</w:t>
      </w:r>
      <w:r>
        <w:t>) в режиме экспериментального правового режима.</w:t>
      </w:r>
    </w:p>
    <w:p>
      <w:pPr>
        <w:pStyle w:val="Heading2"/>
      </w:pPr>
      <w:r>
        <w:t>3. Сводная дорожная карта учреждения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Месяц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Принятие решения о запуске; рассылка концепции единственного учредителя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T+0,5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Уведомление РКН об обработке ПДн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Подача в ФНС документов на регистрацию АО; назначение генерального директора, главного юриста, главного бухгалтера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Заявка на товарный знак в Роспатент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Заявки в Роспатент на регистрацию программ для ЭВМ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Назначение CISO, главного комплаенс-офицера, председателя СД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Постановка на учёт в Росфинмониторинге; утверждение ПВК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Запрос Минфину по налоговой квалификации (ст. 34.2 НК)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Назначение CRO, внутреннего аудитора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Заявка в экспериментальный правовой режим Банка России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Подготовка комплекта документов для заявки в реестр операторов ИС ЦФА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Подача заявки в реестр операторов ИС ЦФА Банка России (779-П)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T+9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Старт сертификации СКЗИ / средств защиты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Категорирование как КИИ (по факту эксплуатации)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T+18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Получение всех профильных сертификатов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T+24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 pilot-light в действующем 259-ФЗ (см. wedge-документ)</w:t>
            </w:r>
          </w:p>
        </w:tc>
      </w:tr>
    </w:tbl>
    <w:p/>
    <w:p>
      <w:pPr>
        <w:pStyle w:val="Heading2"/>
      </w:pPr>
      <w:r>
        <w:t>4. Юридические риски, закрытые этим документом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RED-флаг аудита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Закрытие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B5</w:t>
            </w:r>
            <w:r>
              <w:rPr>
                <w:sz w:val="17"/>
              </w:rPr>
              <w:t xml:space="preserve"> Корпоративный оператор-ЮЛ отсутствует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Учреждение АО с УК ≥ 50 млн ₽; план назначения должностных лиц по 779-П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B6</w:t>
            </w:r>
            <w:r>
              <w:rPr>
                <w:sz w:val="17"/>
              </w:rPr>
              <w:t xml:space="preserve"> Оператор ПДн не зарегистрирован в РКН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Уведомление РКН на T+0,5 мес.; до этого реальные ПДн не собираются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B2</w:t>
            </w:r>
            <w:r>
              <w:rPr>
                <w:sz w:val="17"/>
              </w:rPr>
              <w:t xml:space="preserve"> Реклама нелицензированной финуслуги в RuStore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Описание в RuStore переведено в информационно-демонстрационный регистр; добавлен дисклеймер о правовом статусе (см. </w:t>
            </w:r>
            <w:r>
              <w:rPr>
                <w:rFonts w:ascii="Consolas" w:hAnsi="Consolas"/>
                <w:sz w:val="17"/>
              </w:rPr>
              <w:t>09_Мобильное_приложение/Публикация_RuStore/01_Описание_приложения.md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A-юр AMBER A1</w:t>
            </w:r>
            <w:r>
              <w:rPr>
                <w:sz w:val="17"/>
              </w:rPr>
              <w:t xml:space="preserve"> Налоги мены ЦФА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Запрос в Минфин по ст. 34.2 НК на T+2 мес.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A-юр AMBER A2</w:t>
            </w:r>
            <w:r>
              <w:rPr>
                <w:sz w:val="17"/>
              </w:rPr>
              <w:t xml:space="preserve"> Статус налогового агента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 составе запроса в Минфин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A-юр AMBER A5</w:t>
            </w:r>
            <w:r>
              <w:rPr>
                <w:sz w:val="17"/>
              </w:rPr>
              <w:t xml:space="preserve"> КИИ-категорирование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Подача через 6 мес. фактической эксплуатации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A-юр AMBER A6</w:t>
            </w:r>
            <w:r>
              <w:rPr>
                <w:sz w:val="17"/>
              </w:rPr>
              <w:t xml:space="preserve"> Правовой режим 258-ФЗ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Заявка в Департамент финтех Банка России на T+3 мес.</w:t>
            </w:r>
          </w:p>
        </w:tc>
      </w:tr>
    </w:tbl>
    <w:p/>
    <w:p>
      <w:pPr>
        <w:pStyle w:val="Heading2"/>
      </w:pPr>
      <w:r>
        <w:t>5. Сроки и финансирование первичной регуляторной активности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Статья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млн ₽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Сроки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Учреждение АО (госпошлины, юр.сопровождение, нотариус)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T+0…T+2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Заявки в Роспатент (4 программы для ЭВМ + товарный знак)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Подготовка пакета для реестра 779-П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8,0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Подготовка ПВК Росфинмониторинга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T+1…T+2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Уведомление РКН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T+0,5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Юридическое сопровождение учреждения (внешний консультант 9 мес.)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14,0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T+0…T+9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Налоговое заключение Минфина (юр. компонент)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 (первый блок регуляторных расходов)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24,6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</w:tbl>
    <w:p/>
    <w:p>
      <w:pPr>
        <w:jc w:val="both"/>
      </w:pPr>
      <w:r>
        <w:t>Эта сумма входит в стартовый раунд $25 млн (₽ 1 073 млн).</w:t>
      </w:r>
    </w:p>
    <w:p>
      <w:pPr>
        <w:jc w:val="both"/>
      </w:pPr>
      <w:r>
        <w:rPr>
          <w:b/>
        </w:rPr>
        <w:t>Дата подготовки:</w:t>
      </w:r>
      <w:r>
        <w:t xml:space="preserve"> 24.05.2026. </w:t>
      </w:r>
      <w:r>
        <w:rPr>
          <w:b/>
        </w:rPr>
        <w:t>Подготовлено:</w:t>
      </w:r>
      <w:r>
        <w:t xml:space="preserve"> в рамках исправления RED-флагов сводного аудита; единый SoT для регуляторного контура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