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ЦП РСФСР — ревизия финансовой части и глубокий аудит</w:t>
      </w:r>
    </w:p>
    <w:p>
      <w:pPr>
        <w:jc w:val="both"/>
      </w:pPr>
      <w:r>
        <w:rPr>
          <w:b/>
        </w:rPr>
        <w:t>Дата:</w:t>
      </w:r>
      <w:r>
        <w:t xml:space="preserve"> 7 сентября 2026. </w:t>
      </w:r>
      <w:r>
        <w:rPr>
          <w:b/>
        </w:rPr>
        <w:t>Редакция 2</w:t>
      </w:r>
      <w:r>
        <w:t xml:space="preserve"> — учтены решения владельца от 07.09.2026: операции с ЦФА НДС не облагаются (ЦФА отнесены к ценным бумагам); ключевая ставка Банка России 14,0%; стартовый раунд 1,8 млрд ₽. </w:t>
      </w:r>
      <w:r>
        <w:rPr>
          <w:b/>
        </w:rPr>
        <w:t>Что это:</w:t>
      </w:r>
      <w:r>
        <w:t xml:space="preserve"> отчёт о том, что было не так с цифрами проекта, что исправлено, что осталось и почему вы узнали об этом только сейчас. </w:t>
      </w:r>
      <w:r>
        <w:rPr>
          <w:b/>
        </w:rPr>
        <w:t>Кому:</w:t>
      </w:r>
      <w:r>
        <w:t xml:space="preserve"> владельцу проекта.</w:t>
      </w:r>
    </w:p>
    <w:p>
      <w:pPr>
        <w:pStyle w:val="Heading2"/>
      </w:pPr>
      <w:r>
        <w:t>1. Главное в двух абзацах</w:t>
      </w:r>
    </w:p>
    <w:p>
      <w:pPr>
        <w:jc w:val="both"/>
      </w:pPr>
      <w:r>
        <w:t>Финансовая часть проекта не сходилась. Итог выручки в модели не равнялся сумме её же строк — расхождение в 2034 году составляло 37,6 млрд ₽. Ставка налога на прибыль была указана устаревшая (20% вместо действующих с 2025 года 25%). Скидка за стадию 60% при определении стоимости входа применялась дважды, из-за чего проект оценивал себя примерно вдвое дешевле, чем следует из его же расчёта. Фонд оплаты труда не выводился из численности и окладов: в одном году он соответствовал вдвое большему штату, в другом — вдвое меньшему. Совокупные капитальные вложения в бизнес-плане были указаны в десять раз меньше, чем в таблице модели. Результаты имитационного моделирования (медиана 94 млрд ₽, вероятность отрицательной стоимости 4,2%) приводились в трёх документах при том, что самого расчёта не существовало. Горизонт модели начинался с 2025 года и предполагал выпуск ЦФА на 104 млрд ₽ уже в 2026 году — этого не произошло и произойти не могло.</w:t>
      </w:r>
    </w:p>
    <w:p>
      <w:pPr>
        <w:jc w:val="both"/>
      </w:pPr>
      <w:r>
        <w:t>Всё перечисленное исправлено. Модель пересчитана заново и теперь считается программой, а не набирается в тексте: один файл допущений, один расчётный движок, документы собираются из него. Введена автоматическая самопроверка сходимости и отдельная проверка, которая ищет по всем файлам проекта показатели прежних редакций. Обе проходят. Итоговая стоимость бизнеса почти не изменилась — 63,0 млрд ₽ против прежних 63,45 — но теперь эта величина выводится из расчёта, а не заявляется. Существенно изменились три вещи: расчётная стоимость входа выросла с $100 млн до $248 млн (устранён двойной дисконт), потребность в финансировании выросла с 1,3 до 1,7 млрд ₽ (прежний раунд её не покрывал; по вашему решению раунд поднят до 1,8 млрд ₽ и теперь покрывает с запасом 99 млн ₽), и появилось честное имитационное моделирование, медиана которого — 39,2 млрд ₽, а не 94.</w:t>
      </w:r>
    </w:p>
    <w:p>
      <w:pPr>
        <w:pStyle w:val="Heading2"/>
      </w:pPr>
      <w:r>
        <w:t>2. Что было не так — по существу</w:t>
      </w:r>
    </w:p>
    <w:p>
      <w:pPr>
        <w:jc w:val="both"/>
      </w:pPr>
      <w:r>
        <w:t xml:space="preserve">Ниже только то, что проверено построчно. Каждая строка воспроизводима: исходные данные лежат в </w:t>
      </w:r>
      <w:r>
        <w:rPr>
          <w:rFonts w:ascii="Consolas" w:hAnsi="Consolas"/>
          <w:sz w:val="18"/>
        </w:rPr>
        <w:t>03_Финансовая_модель/Модель/assumptions.json</w:t>
      </w:r>
      <w:r>
        <w:t xml:space="preserve">, расчёт — в </w:t>
      </w:r>
      <w:r>
        <w:rPr>
          <w:rFonts w:ascii="Consolas" w:hAnsi="Consolas"/>
          <w:sz w:val="18"/>
        </w:rPr>
        <w:t>model.py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Дефект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Где было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Чем это грозило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 выручки не равен сумме строк.</w:t>
            </w:r>
            <w:r>
              <w:rPr>
                <w:sz w:val="17"/>
              </w:rPr>
              <w:t xml:space="preserve"> В 2034 году сумма шести строк давала 175 492 млн ₽, а итог был указан 137 905 млн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Финмодель, лист 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Первая же сверка на комплексной проверке у инвестора: складывается таблица — не сходится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Транзитные услуги оценщиков и страховщиков (0,8% объёма) числились выручкой платформы целиком.</w:t>
            </w:r>
            <w:r>
              <w:rPr>
                <w:sz w:val="17"/>
              </w:rPr>
              <w:t xml:space="preserve"> В пояснениях к модели прямо написано «pass-through, 85% — встречные издержки», но в расчёт это не переносилось. В 2034 году строка давала 51 240 млн ₽ — больше трети всей выручки, при том что встречные издержки в расходы не попадали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Финмодель, листы 1–3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Завышение выручки и маржи; в терминах отчётности — выручка агента показана как выручка принципала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Ставка налога на прибыль 20%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Финмодель, бизнес-план, отчёт об оценке, DD, RFP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Ставка 25% действует с 01.01.2025 (176-ФЗ от 12.07.2024). Устаревшая ставка в оценке — это не мелочь, а сигнал о качестве работы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Скидка за стадию 60% применена дважды</w:t>
            </w:r>
            <w:r>
              <w:rPr>
                <w:sz w:val="17"/>
              </w:rPr>
              <w:t>: сначала внутри доходного подхода (63,45 × 0,40 = 25,4 млрд ₽ → $355 млн), затем ещё раз поверх свёртки методов (249 × 0,40 ≈ $100 млн)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об оценке § 9.6 и § 10, международная оценка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Проект занижал собственную стоимость входа примерно вдвое.</w:t>
            </w:r>
            <w:r>
              <w:rPr>
                <w:sz w:val="17"/>
              </w:rPr>
              <w:t xml:space="preserve"> Это единственная находка в вашу пользу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Фонд оплаты труда не выводился из численности и окладов.</w:t>
            </w:r>
            <w:r>
              <w:rPr>
                <w:sz w:val="17"/>
              </w:rPr>
              <w:t xml:space="preserve"> Строка 2029 года соответствовала примерно 510 работникам при заявленных 240; строка 2026 года — примерно 56 при заявленных 120. При этом весь операционный бюджет второго года (820 млн ₽) не покрывал даже фонд оплаты труда заявленных 120 человек (695 млн ₽)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Финмодель, лист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Расходы второго и третьего годов занижены; план найма и бюджет не связаны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Совокупные капитальные вложения за 10 лет: 1 300 млн ₽ в бизнес-плане против 13 570 млн ₽ в таблице модели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Бизнес-план § 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Ошибка ровно в десять раз в цифре, которую инвестор смотрит первой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Ряд денежных потоков в отчёте об оценке не выводился из отчёта о прибылях и убытках</w:t>
            </w:r>
            <w:r>
              <w:rPr>
                <w:sz w:val="17"/>
              </w:rPr>
              <w:t>: игнорировал прирост оборотного капитала и содержал необъяснённые остатки (в 2028 году +0,34 млрд ₽ ниоткуда)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об оценке § 9.2–9.3, расчётная таблица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построена на ряде, который нельзя воспроизвести из отчётности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Результаты имитационного моделирования приводились, но не рассчитывались.</w:t>
            </w:r>
            <w:r>
              <w:rPr>
                <w:sz w:val="17"/>
              </w:rPr>
              <w:t xml:space="preserve"> Медиана 94 млрд ₽, интервал P10–P90 42–168, вероятность отрицательной стоимости 4,2% — в отчёте об оценке, международной оценке и финмодели. Функции расчёта в коде не было; в двух документах эти же величины отличались (медиана 91 против 94)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 документа + виджет сайта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Приведение результата несуществующего расчёта — самое опасное из всего списка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Ранжирование факторов по влиянию на стоимость («торнадо») не рассчитывалось.</w:t>
            </w:r>
            <w:r>
              <w:rPr>
                <w:sz w:val="17"/>
              </w:rPr>
              <w:t xml:space="preserve"> Первым фактором указывался «срок принятия нормативных актов» с влиянием ±54 млрд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об оценке § 13.5, презентация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Величина не выводится ни из чего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Срок окупаемости 2,8 года при кумулятивном потоке, пересекающем ноль на четвёртый год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документы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Прежний аудит уже указывал, что правильная величина 3,24 года. Исправлено не было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Ставка дисконтирования выведена по-разному в двух документах одного проекта</w:t>
            </w:r>
            <w:r>
              <w:rPr>
                <w:sz w:val="17"/>
              </w:rPr>
              <w:t>: 2,5% + 3,0% против 1,5% + 2,5%, премия за рыночный риск 8,13% против 9%, и отдельная фраза «в базовом сценарии используется 30%» — при итоге 29,5% везде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 и записка к ней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Проверяющий пересчитает и не получит заявленную ставку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Терминальная стоимость считалась тремя несовместимыми способами одновременно</w:t>
            </w:r>
            <w:r>
              <w:rPr>
                <w:sz w:val="17"/>
              </w:rPr>
              <w:t>: модель Гордона с g=2% в финмодели, трёхстадийная модель в расчётной таблице, g=4% в бизнес-плане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 документа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Разные результаты для одной величины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Горизонт начинался с 2025 года; первый выпуск ЦФА планировался на 2026 год объёмом 104 млрд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документы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На дату ревизии нет ни лицензии оператора информационной системы, ни нормативной базы, ни выпусков. Модель описывала прошлое, которого не было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Ожидаемое значение по сценариям посчитано неверно</w:t>
            </w:r>
            <w:r>
              <w:rPr>
                <w:sz w:val="17"/>
              </w:rPr>
              <w:t>: 60,1 млрд ₽ при взвешенной сумме 63,7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Свод показателей, расчётная таблица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Арифметика в одну строку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Виджет на сайте был приведён к документам подгоночным коэффициентом.</w:t>
            </w:r>
            <w:r>
              <w:rPr>
                <w:sz w:val="17"/>
              </w:rPr>
              <w:t xml:space="preserve"> В коде: </w:t>
            </w:r>
            <w:r>
              <w:rPr>
                <w:rFonts w:ascii="Consolas" w:hAnsi="Consolas"/>
                <w:sz w:val="17"/>
              </w:rPr>
              <w:t>realizationFactor: 0,78</w:t>
            </w:r>
            <w:r>
              <w:rPr>
                <w:sz w:val="17"/>
              </w:rPr>
              <w:t xml:space="preserve"> с комментарием «приводит выручку Y10 ~175 → ~138 и NPV к канону ~63»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_shared/finmodel.js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Расхождение не устранено, а замаскировано множителем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Одна и та же таблица чувствительности содержала курс 71,55 дважды с разными результатами</w:t>
            </w:r>
            <w:r>
              <w:rPr>
                <w:sz w:val="17"/>
              </w:rPr>
              <w:t xml:space="preserve"> (7,15 и 8,90 млрд ₽); вторая строка соответствовала курсу 89,0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об оценке § 13.3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Прямая внутренняя нестыковка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Разные скидки за одну и ту же стадию в одном отчёте</w:t>
            </w:r>
            <w:r>
              <w:rPr>
                <w:sz w:val="17"/>
              </w:rPr>
              <w:t>: 60% в доходном подходе и 81,6% в сравнительном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Отчёт об оценке § 9.7 и § 14.1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объяснено; требует либо обоснования, либо унификации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Остаток машинной правки в тексте</w:t>
            </w:r>
            <w:r>
              <w:rPr>
                <w:sz w:val="17"/>
              </w:rPr>
              <w:t xml:space="preserve">: «Reasoned Value поднята с $ 70–140 млн до </w:t>
            </w:r>
            <w:r>
              <w:rPr>
                <w:b/>
                <w:sz w:val="17"/>
              </w:rPr>
              <w:t>$ 70–140 млн</w:t>
            </w:r>
            <w:r>
              <w:rPr>
                <w:sz w:val="17"/>
              </w:rPr>
              <w:t>»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Экспертное заключение § 223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Фраза бессмысленна; такие следы читаются как небрежность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Три разные величины потребности в промежуточном финансировании</w:t>
            </w:r>
            <w:r>
              <w:rPr>
                <w:sz w:val="17"/>
              </w:rPr>
              <w:t xml:space="preserve"> для одного и того же разрыва: 200 / 450 / 750 млн ₽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 документа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Найдено ещё прежним аудитом; не исправлено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Показатели на сайте не совпадали с документами и между собой</w:t>
            </w:r>
            <w:r>
              <w:rPr>
                <w:sz w:val="17"/>
              </w:rPr>
              <w:t>: на главной странице «post-money $95M, IRR 62%, NPV 63,4», в словаре переводов той же страницы — «NPV 51,2», в отчёте об оценке — post-money $115M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Главная страница, словари переводов, презентации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 видит одну цифру на сайте и другую в присланном документе</w:t>
            </w:r>
          </w:p>
        </w:tc>
      </w:tr>
    </w:tbl>
    <w:p/>
    <w:p>
      <w:pPr>
        <w:pStyle w:val="Heading2"/>
      </w:pPr>
      <w:r>
        <w:t>3. Что сделано</w:t>
      </w:r>
    </w:p>
    <w:p>
      <w:pPr>
        <w:pStyle w:val="Heading3"/>
      </w:pPr>
      <w:r>
        <w:t>3.1. Модель пересобрана как программа</w:t>
      </w:r>
    </w:p>
    <w:p>
      <w:pPr>
        <w:jc w:val="both"/>
      </w:pPr>
      <w:r>
        <w:t xml:space="preserve">Создан каталог </w:t>
      </w:r>
      <w:r>
        <w:rPr>
          <w:rFonts w:ascii="Consolas" w:hAnsi="Consolas"/>
          <w:sz w:val="18"/>
        </w:rPr>
        <w:t>03_Финансовая_модель/Модель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assumptions.json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все входные величины проекта в одном месте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расчётный движок: рынок, выручка, расходы, налоги, потоки, дисконтирование, терминальная стоимость, сценарии, чувствительность, имитация, показатели для инвестора, свёртка подходов к оценке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собрать_документ.py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собирает документ «Финансовая модель» целиком из движка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собрать_SoT.py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собирает свод единых показателей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собрать_расчётную_таблицу.py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собирает расчётную таблицу к отчёту об оценке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Выгрузка/*.csv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машинная выгрузка всех таблиц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Выгрузка/показатели.json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итоговые показатели для сверки</w:t>
            </w:r>
          </w:p>
        </w:tc>
      </w:tr>
    </w:tbl>
    <w:p/>
    <w:p>
      <w:pPr>
        <w:jc w:val="both"/>
      </w:pPr>
      <w:r>
        <w:rPr>
          <w:b/>
        </w:rPr>
        <w:t>Правка цифр вручную в документах теперь невозможна:</w:t>
      </w:r>
      <w:r>
        <w:t xml:space="preserve"> документы собираются из движка и при следующей сборке ручная правка затирается. Это и есть защита от повторения.</w:t>
      </w:r>
    </w:p>
    <w:p>
      <w:pPr>
        <w:pStyle w:val="Heading3"/>
      </w:pPr>
      <w:r>
        <w:t>3.2. Что изменилось в самом расчёте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было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стало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Итог выручки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равен сумме строк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равен по построению; проверяется автоматически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Оценка и страхование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0,80% объёма в выручку целиком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0,12% (собственная маржа); валовые сборы раскрыты отдельной справочной строкой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 на прибыль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25%, с переносом убытков прошлых лет (предел 50% базы)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Фонд оплаты труда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выводился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численность × оклад × 12 × 1,30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Прочие расходы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подобранная кривая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база 502 млн ₽ с индексацией 4% + 22% выручки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Горизонт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2025–2034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2027–2036; первый выпуск — 2028 год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Терминальная стоимость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 способа сразу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один: Гордон на нормализованном потоке, g = 4%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Скидка за стадию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применялась дважды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один раз и только к подходам, которые её ещё не содержат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Имитационное моделирование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приводилось, но не считалось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2 000 итераций, генератор с фиксированным зерном, результат воспроизводим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Ранжирование факторов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заявлялось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рассчитывается движком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Виджет сайта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подгонялся коэффициентом 0,78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точный перенос движка; расхождений с документами нет</w:t>
            </w:r>
          </w:p>
        </w:tc>
      </w:tr>
    </w:tbl>
    <w:p/>
    <w:p>
      <w:pPr>
        <w:pStyle w:val="Heading3"/>
      </w:pPr>
      <w:r>
        <w:t>3.3. Итоговые показатели (базовый сценарий)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Прежняя редакция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Новая редакция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63,45 млрд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62,97 млрд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 том числе дисконтированные потоки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43,0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38,99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 том числе терминальная стоимость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20,5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23,98 (доля 38%)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год 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37,5 млрд ₽ (2029)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39,0 млрд ₽</w:t>
            </w:r>
            <w:r>
              <w:rPr>
                <w:sz w:val="17"/>
              </w:rPr>
              <w:t xml:space="preserve"> (2031)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год 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137,9 млрд ₽ (2034)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142,6 млрд ₽</w:t>
            </w:r>
            <w:r>
              <w:rPr>
                <w:sz w:val="17"/>
              </w:rPr>
              <w:t xml:space="preserve"> (2036)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 год 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103,1 / 133,6 (в разных документах)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107,1 млрд ₽</w:t>
            </w:r>
            <w:r>
              <w:rPr>
                <w:sz w:val="17"/>
              </w:rPr>
              <w:t>, маржа 75,1%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Внутренняя норма доходности проекта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62%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182%</w:t>
            </w:r>
            <w:r>
              <w:rPr>
                <w:sz w:val="17"/>
              </w:rPr>
              <w:t xml:space="preserve"> — с прямой оговоркой (см. ниже)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2,8 года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2,73 года</w:t>
            </w:r>
            <w:r>
              <w:rPr>
                <w:sz w:val="17"/>
              </w:rPr>
              <w:t xml:space="preserve"> простая, </w:t>
            </w:r>
            <w:r>
              <w:rPr>
                <w:b/>
                <w:sz w:val="17"/>
              </w:rPr>
              <w:t>3,05</w:t>
            </w:r>
            <w:r>
              <w:rPr>
                <w:sz w:val="17"/>
              </w:rPr>
              <w:t xml:space="preserve"> дисконтированная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Пиковая потребность в финансировании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 млрд ₽ (бизнес-план) / 2,09 (финмодель)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1,70 млрд ₽</w:t>
            </w:r>
            <w:r>
              <w:rPr>
                <w:sz w:val="17"/>
              </w:rPr>
              <w:t>, конец 2028 года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Стартовый раунд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1,073 млрд ₽ ($15 млн)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1,8 млрд ₽ ($25 млн)</w:t>
            </w:r>
            <w:r>
              <w:rPr>
                <w:sz w:val="17"/>
              </w:rPr>
              <w:t xml:space="preserve"> — ваше решение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Ключевая ставка Банка России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14,5% (24.04.2026)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14,0%</w:t>
            </w:r>
            <w:r>
              <w:rPr>
                <w:sz w:val="17"/>
              </w:rPr>
              <w:t xml:space="preserve"> (07.09.2026)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Капитальные вложения за горизонт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 млрд ₽ (бизнес-план)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13,57 млрд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входа (pre-money)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$100 млн / 7,15 млрд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$248 млн / 17,74 млрд ₽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Доля инвестора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13,04%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9,21%</w:t>
            </w:r>
            <w:r>
              <w:rPr>
                <w:sz w:val="17"/>
              </w:rPr>
              <w:t xml:space="preserve"> (раунд $25 млн при pre-money $248 млн)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Медиана имитации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94 млрд ₽ (не считалась)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39,2 млрд ₽</w:t>
            </w:r>
          </w:p>
        </w:tc>
      </w:tr>
    </w:tbl>
    <w:p/>
    <w:p>
      <w:pPr>
        <w:jc w:val="both"/>
      </w:pPr>
      <w:r>
        <w:rPr>
          <w:b/>
        </w:rPr>
        <w:t>Об оценках, которым нельзя доверять как достоинствам проекта.</w:t>
      </w:r>
    </w:p>
    <w:p>
      <w:pPr>
        <w:jc w:val="both"/>
      </w:pPr>
      <w:r>
        <w:rPr>
          <w:i/>
        </w:rPr>
        <w:t>Внутренняя норма доходности 182%.</w:t>
      </w:r>
      <w:r>
        <w:t xml:space="preserve"> Это не преимущество, а признак неполноты модели: в ней нет требований к собственным средствам оператора информационной системы, нет резервов, нет отдельной статьи на привлечение клиентов. Вложения малы (пик 1,7 млрд ₽), а зрелые потоки — десятки миллиардов, отсюда и величина. В переговорах опираться следует на стоимость бизнеса и на расчёт для инвестора, а показатель приводить только с оговоркой. В документах эта оговорка теперь стоит рядом с цифрой.</w:t>
      </w:r>
    </w:p>
    <w:p>
      <w:pPr>
        <w:jc w:val="both"/>
      </w:pPr>
      <w:r>
        <w:rPr>
          <w:i/>
        </w:rPr>
        <w:t>Показатели инвестора.</w:t>
      </w:r>
      <w:r>
        <w:t xml:space="preserve"> При раунде 1,8 млрд ₽ и стоимости входа $248 млн доля составляет 9,21%; при выходе в 2033 году поступления 33,1 млрд ₽, кратность возврата 18,4×, внутренняя норма доходности инвестора 51,6% — при условии полного выполнения плана.</w:t>
      </w:r>
    </w:p>
    <w:p>
      <w:pPr>
        <w:jc w:val="both"/>
      </w:pPr>
      <w:r>
        <w:rPr>
          <w:i/>
        </w:rPr>
        <w:t>Стоимость входа $248 млн.</w:t>
      </w:r>
      <w:r>
        <w:t xml:space="preserve"> Разброс между подходами двенадцатикратный: затратный даёт $20 млн, Беркус — $35 млн, доходный — $352 млн. 65% веса приходится на подходы, оценивающие уже работающий бизнес. Расчётные $248 млн — верхняя граница обоснуемого, а не рыночная цена: сделок по проекту не совершалось. Решение о переговорной цене — ваше; расчёт лишь показывает, что прежние $100 млн были результатом арифметической ошибки, а не осторожности.</w:t>
      </w:r>
    </w:p>
    <w:p>
      <w:pPr>
        <w:pStyle w:val="Heading3"/>
      </w:pPr>
      <w:r>
        <w:t>3.4. Что исправлено в документах</w:t>
      </w:r>
    </w:p>
    <w:p>
      <w:pPr>
        <w:jc w:val="both"/>
      </w:pPr>
      <w:r>
        <w:t>Приведены к пересчитанной модели и пересобраны во всех форматах:</w:t>
      </w:r>
    </w:p>
    <w:p>
      <w:pPr>
        <w:pStyle w:val="ListBullet"/>
      </w:pPr>
      <w:r>
        <w:t>финансовая модель и записка к допущениям;</w:t>
      </w:r>
    </w:p>
    <w:p>
      <w:pPr>
        <w:pStyle w:val="ListBullet"/>
      </w:pPr>
      <w:r>
        <w:t>бизнес-план и документ о пилотном режиме;</w:t>
      </w:r>
    </w:p>
    <w:p>
      <w:pPr>
        <w:pStyle w:val="ListBullet"/>
      </w:pPr>
      <w:r>
        <w:t>отчёт об оценке (редакция 2) с расчётной таблицей и презентацией;</w:t>
      </w:r>
    </w:p>
    <w:p>
      <w:pPr>
        <w:pStyle w:val="ListBullet"/>
      </w:pPr>
      <w:r>
        <w:t>международная оценка, отчёт о комплексной проверке, экспертное заключение;</w:t>
      </w:r>
    </w:p>
    <w:p>
      <w:pPr>
        <w:pStyle w:val="ListBullet"/>
      </w:pPr>
      <w:r>
        <w:t>свод единых показателей;</w:t>
      </w:r>
    </w:p>
    <w:p>
      <w:pPr>
        <w:pStyle w:val="ListBullet"/>
      </w:pPr>
      <w:r>
        <w:t>главная страница, обе презентации, короткая презентация, буклет, словари переводов (русский, английский, французский, арабский);</w:t>
      </w:r>
    </w:p>
    <w:p>
      <w:pPr>
        <w:pStyle w:val="ListBullet"/>
      </w:pPr>
      <w:r>
        <w:t>интерактивный виджет финмодели.</w:t>
      </w:r>
    </w:p>
    <w:p>
      <w:pPr>
        <w:jc w:val="both"/>
      </w:pPr>
      <w:r>
        <w:t>Всего изменено 116 файлов, добавлено 7. Все документы пересобраны в HTML, PDF и Word.</w:t>
      </w:r>
    </w:p>
    <w:p>
      <w:pPr>
        <w:jc w:val="both"/>
      </w:pPr>
      <w:r>
        <w:rPr>
          <w:b/>
        </w:rPr>
        <w:t>Переводы.</w:t>
      </w:r>
      <w:r>
        <w:t xml:space="preserve"> Числа в английской, французской и арабской версиях обновлены, но окружающий текст ещё описывает прежнюю методику. В каждый переведённый финансовый документ добавлена пометка: перевод следует русскому оригиналу, финансовая часть пересчитана 07.09.2026, при расхождении приоритет за русской версией. Полная переработка переводов — отдельная работа.</w:t>
      </w:r>
    </w:p>
    <w:p>
      <w:pPr>
        <w:pStyle w:val="Heading3"/>
      </w:pPr>
      <w:r>
        <w:t>3.5. Что теперь проверяется автоматически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Проверка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Чем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Сходимость модели: итог выручки = сумма строк, EBITDA = выручка − расходы, поток = EBITDA − налог − прирост оборотного капитала − капитальные вложения, стоимость = потоки + терминальная стоимость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model.py</w:t>
            </w:r>
            <w:r>
              <w:rPr>
                <w:sz w:val="17"/>
              </w:rPr>
              <w:t>, встроенная самопроверка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расхождений нет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Отсутствие в документах показателей прежних редакций (20 шаблонов)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_tools/проверка_цифр.py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не найдено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Инварианты проекта: следы машинной правки, следы ИИ, обезличивание, показатели свода, работоспособность движка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_tools/ci_invariants.ps1</w:t>
            </w:r>
            <w:r>
              <w:rPr>
                <w:sz w:val="17"/>
              </w:rPr>
              <w:t xml:space="preserve"> (обновлён)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34 из 36, 2 предупреждения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Целостность внутренних ссылок сайта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сверка 8 307 ссылок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битых нет</w:t>
            </w:r>
          </w:p>
        </w:tc>
      </w:tr>
    </w:tbl>
    <w:p/>
    <w:p>
      <w:pPr>
        <w:pStyle w:val="Heading2"/>
      </w:pPr>
      <w:r>
        <w:t>4. Глубокий аудит: что ещё найдено</w:t>
      </w:r>
    </w:p>
    <w:p>
      <w:pPr>
        <w:pStyle w:val="Heading3"/>
      </w:pPr>
      <w:r>
        <w:t>4.1. Не устранено намеренно — требует вашего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Находка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Почему не тронуто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Траектория доли рынка ничем не подтверждена.</w:t>
            </w:r>
            <w:r>
              <w:rPr>
                <w:sz w:val="17"/>
              </w:rPr>
              <w:t xml:space="preserve"> 18% залоговой ёмкости к десятому году — допущение автора. Ни пилота, ни договоров, ни сопоставимого проекта. Вся оценка — арифметика от этой строки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Это ваше содержательное допущение, а не ошибка расчёта. Оно теперь прямо помечено в модели как главный источник неопределённости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~~Раунд не покрывает потребность~~ — </w:t>
            </w:r>
            <w:r>
              <w:rPr>
                <w:b/>
                <w:sz w:val="17"/>
              </w:rPr>
              <w:t>закрыто вашим решением 07.09.2026</w:t>
            </w:r>
            <w:r>
              <w:rPr>
                <w:sz w:val="17"/>
              </w:rPr>
              <w:t>: раунд 1,8 млрд ₽ против пика 1,70 млрд ₽, запас 99 млн ₽. Запас невелик: при задержке запуска на год потребность вырастает до 3,44 млрд 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закрыто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Стоимость входа $248 млн</w:t>
            </w:r>
            <w:r>
              <w:rPr>
                <w:sz w:val="17"/>
              </w:rPr>
              <w:t xml:space="preserve"> при подходах ранней стадии, дающих $20–35 млн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Цена — ваше решение. Расчёт и оговорка приведены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Скидка за стадию в сравнительном подходе 81,6% против 60% в доходном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Требует либо обоснования, либо унификации — это методологическое решение оценщика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Макроэкономический блок обновлён частично.</w:t>
            </w:r>
            <w:r>
              <w:rPr>
                <w:sz w:val="17"/>
              </w:rPr>
              <w:t xml:space="preserve"> Ключевая ставка приведена к 14,0% по вашему указанию от 07.09.2026. Доходность 10-летних ОФЗ (14,73%) и курс (71,55) остались на май 2026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Ставка дисконтирования строится на доходности ОФЗ, а не на ключевой ставке, поэтому она не изменилась. Перед переговорами обновить ОФЗ и курс</w:t>
            </w:r>
          </w:p>
        </w:tc>
      </w:tr>
    </w:tbl>
    <w:p/>
    <w:p>
      <w:pPr>
        <w:pStyle w:val="Heading3"/>
      </w:pPr>
      <w:r>
        <w:t>4.2. Правовое и налоговое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Находка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Ставка налога на прибыль приведена к действующей 25%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исправлено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Операции с ЦФА НДС не облагаются: активы отнесены к ценным бумагам, реализация ценных бумаг освобождена от НДС (пп. 12 п. 2 ст. 149 НК РФ)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закрыто решением владельца 07.09.2026</w:t>
            </w:r>
            <w:r>
              <w:rPr>
                <w:sz w:val="17"/>
              </w:rPr>
              <w:t>; в документах приведено это основание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Льгота по налогу на прибыль для аккредитованных ИТ-организаций и пониженные страховые взносы в базовый сценарий не заложены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правильно: это потенциал, а не допущение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Требования к собственным средствам оператора информационной системы по 259-ФЗ в модели не учтены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не смоделировано, требует проверки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Перенос убытков прошлых лет учтён с пределом 50% налоговой базы (ст. 283 НК РФ)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добавлено</w:t>
            </w:r>
          </w:p>
        </w:tc>
      </w:tr>
    </w:tbl>
    <w:p/>
    <w:p>
      <w:pPr>
        <w:pStyle w:val="Heading3"/>
      </w:pPr>
      <w:r>
        <w:t>4.3. Техническое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Находка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Инструмент пересборки HTML, описанный в </w:t>
            </w:r>
            <w:r>
              <w:rPr>
                <w:rFonts w:ascii="Consolas" w:hAnsi="Consolas"/>
                <w:sz w:val="17"/>
              </w:rPr>
              <w:t>BUILD_PIPELINE.md</w:t>
            </w:r>
            <w:r>
              <w:rPr>
                <w:sz w:val="17"/>
              </w:rPr>
              <w:t xml:space="preserve">, опирается на pandoc — </w:t>
            </w:r>
            <w:r>
              <w:rPr>
                <w:b/>
                <w:sz w:val="17"/>
              </w:rPr>
              <w:t>pandoc в системе не установлен</w:t>
            </w:r>
            <w:r>
              <w:rPr>
                <w:sz w:val="17"/>
              </w:rPr>
              <w:t>, то есть конвейер, объявленный прежним аудитом «структурно устраняющим рассинхрон», не работал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заменён на </w:t>
            </w:r>
            <w:r>
              <w:rPr>
                <w:rFonts w:ascii="Consolas" w:hAnsi="Consolas"/>
                <w:sz w:val="17"/>
              </w:rPr>
              <w:t>_tools/build_docs.py</w:t>
            </w:r>
            <w:r>
              <w:rPr>
                <w:sz w:val="17"/>
              </w:rPr>
              <w:t xml:space="preserve"> (HTML), </w:t>
            </w:r>
            <w:r>
              <w:rPr>
                <w:rFonts w:ascii="Consolas" w:hAnsi="Consolas"/>
                <w:sz w:val="17"/>
              </w:rPr>
              <w:t>build_pdf.py</w:t>
            </w:r>
            <w:r>
              <w:rPr>
                <w:sz w:val="17"/>
              </w:rPr>
              <w:t xml:space="preserve"> (PDF через headless Chrome), </w:t>
            </w:r>
            <w:r>
              <w:rPr>
                <w:rFonts w:ascii="Consolas" w:hAnsi="Consolas"/>
                <w:sz w:val="17"/>
              </w:rPr>
              <w:t>build_docx.py</w:t>
            </w:r>
            <w:r>
              <w:rPr>
                <w:sz w:val="17"/>
              </w:rPr>
              <w:t xml:space="preserve"> (Word); работают, все документы пересобраны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CI-инспектор проверял устаревшие инварианты (NPV 63,4, окупаемость 2,8, доля 13,04%) — то есть охранял именно те цифры, которые оказались неверными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переписан под новый свод; добавлены проверки движка и поиска устаревших показателей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CI-инспектор требовал </w:t>
            </w:r>
            <w:r>
              <w:rPr>
                <w:b/>
                <w:sz w:val="17"/>
              </w:rPr>
              <w:t>наличия</w:t>
            </w:r>
            <w:r>
              <w:rPr>
                <w:sz w:val="17"/>
              </w:rPr>
              <w:t xml:space="preserve"> фамилий должностных лиц, тогда как в июле 2026 года по вашему решению проводилось обезличивание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проверка развёрнута: теперь она требует их отсутствия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Клиентский гейт </w:t>
            </w:r>
            <w:r>
              <w:rPr>
                <w:rFonts w:ascii="Consolas" w:hAnsi="Consolas"/>
                <w:sz w:val="17"/>
              </w:rPr>
              <w:t>gate.js</w:t>
            </w:r>
            <w:r>
              <w:rPr>
                <w:sz w:val="17"/>
              </w:rPr>
              <w:t xml:space="preserve"> — не защита: содержимое страницы отдаётся браузеру и скрывается стилем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известно, отложено вашим решением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В интерфейсе демонстрационного стенда прописан пароль </w:t>
            </w:r>
            <w:r>
              <w:rPr>
                <w:rFonts w:ascii="Consolas" w:hAnsi="Consolas"/>
                <w:sz w:val="17"/>
              </w:rPr>
              <w:t>demo1234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демонстрационный, но перед любым реальным развёртыванием убрать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Битых внутренних ссылок на сайте нет (проверено 8 307)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порядке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Файлы </w:t>
            </w:r>
            <w:r>
              <w:rPr>
                <w:rFonts w:ascii="Consolas" w:hAnsi="Consolas"/>
                <w:sz w:val="17"/>
              </w:rPr>
              <w:t>_не_публиковать/</w:t>
            </w:r>
            <w:r>
              <w:rPr>
                <w:sz w:val="17"/>
              </w:rPr>
              <w:t xml:space="preserve"> содержат фамилии должностных лиц и проекты писем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папка исключена из публикации; проверено, что в публикуемой части их нет</w:t>
            </w:r>
          </w:p>
        </w:tc>
      </w:tr>
    </w:tbl>
    <w:p/>
    <w:p>
      <w:pPr>
        <w:pStyle w:val="Heading3"/>
      </w:pPr>
      <w:r>
        <w:t>4.4. Соблюдение ваших правил ведения проектов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Правило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Изоляция проектов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было нарушение</w:t>
            </w:r>
            <w:r>
              <w:rPr>
                <w:sz w:val="17"/>
              </w:rPr>
              <w:t>: журнал сессии от 24.05.2026 перечислял пять смежных проектов поимённо. Упоминания убраны, содержание журнала сохранено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Единство проекта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нарушений не найдено: всё в </w:t>
            </w:r>
            <w:r>
              <w:rPr>
                <w:rFonts w:ascii="Consolas" w:hAnsi="Consolas"/>
                <w:sz w:val="17"/>
              </w:rPr>
              <w:t>D:\DPFSD.RU</w:t>
            </w:r>
            <w:r>
              <w:rPr>
                <w:sz w:val="17"/>
              </w:rPr>
              <w:t xml:space="preserve">; смежные папки </w:t>
            </w:r>
            <w:r>
              <w:rPr>
                <w:rFonts w:ascii="Consolas" w:hAnsi="Consolas"/>
                <w:sz w:val="17"/>
              </w:rPr>
              <w:t>D:\RSFSR-App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D:\RSFSR-Digital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D:\RSFSR-Platform</w:t>
            </w:r>
            <w:r>
              <w:rPr>
                <w:sz w:val="17"/>
              </w:rPr>
              <w:t xml:space="preserve"> — исторические комплекты, помечены картами проектов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Отсутствие следов ИИ в клиентских документах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проверено, следов нет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Документы в PDF и Word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выполнено для всех пересобранных документов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Ничего не удалено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устаревшие файлы перенесены в </w:t>
            </w:r>
            <w:r>
              <w:rPr>
                <w:rFonts w:ascii="Consolas" w:hAnsi="Consolas"/>
                <w:sz w:val="17"/>
              </w:rPr>
              <w:t>_рабочее/</w:t>
            </w:r>
            <w:r>
              <w:rPr>
                <w:sz w:val="17"/>
              </w:rPr>
              <w:t xml:space="preserve">, оригиналы документов — в </w:t>
            </w:r>
            <w:r>
              <w:rPr>
                <w:rFonts w:ascii="Consolas" w:hAnsi="Consolas"/>
                <w:sz w:val="17"/>
              </w:rPr>
              <w:t>_рабочее/backup_2026-09-07_ревизия_финмодели/</w:t>
            </w:r>
          </w:p>
        </w:tc>
      </w:tr>
    </w:tbl>
    <w:p/>
    <w:p>
      <w:pPr>
        <w:pStyle w:val="Heading3"/>
      </w:pPr>
      <w:r>
        <w:t>4.5. Отдельно: слайды отчёта об оценке в PowerPoint</w:t>
      </w:r>
    </w:p>
    <w:p>
      <w:pPr>
        <w:jc w:val="both"/>
      </w:pPr>
      <w:r>
        <w:t xml:space="preserve">Файл </w:t>
      </w:r>
      <w:r>
        <w:rPr>
          <w:rFonts w:ascii="Consolas" w:hAnsi="Consolas"/>
          <w:sz w:val="18"/>
        </w:rPr>
        <w:t>Презентация_ЦПФСР_2026-05-26.pptx</w:t>
      </w:r>
      <w:r>
        <w:t xml:space="preserve"> (10 МБ) содержит прежние показатели. Пересобрать его программно нельзя — там вставленные изображения и оформление. Файл перенесён в </w:t>
      </w:r>
      <w:r>
        <w:rPr>
          <w:rFonts w:ascii="Consolas" w:hAnsi="Consolas"/>
          <w:sz w:val="18"/>
        </w:rPr>
        <w:t>_рабочее/устаревшее_2026-09-07/</w:t>
      </w:r>
      <w:r>
        <w:t xml:space="preserve"> с запиской, чтобы он не ушёл партнёру по ошибке. Актуальные слайды доступны в HTML и PDF — они пересчитаны, включая диаграммы.</w:t>
      </w:r>
    </w:p>
    <w:p>
      <w:pPr>
        <w:pStyle w:val="Heading2"/>
      </w:pPr>
      <w:r>
        <w:t>5. Что осталось сделать</w:t>
      </w:r>
    </w:p>
    <w:p>
      <w:pPr>
        <w:jc w:val="both"/>
      </w:pPr>
      <w:r>
        <w:t>По убыванию важности.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Почему это важно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Кто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Проверить спрос.</w:t>
            </w:r>
            <w:r>
              <w:rPr>
                <w:sz w:val="17"/>
              </w:rPr>
              <w:t xml:space="preserve"> Ни одного подтверждения, что собственники готовы закладывать имущество на предлагаемых условиях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Вся оценка — производная от траектории доли рынка. Пока спрос не проверен, любые переговоры о деньгах ведутся вслепую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владелец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Обновить доходность ОФЗ и курс</w:t>
            </w:r>
            <w:r>
              <w:rPr>
                <w:sz w:val="17"/>
              </w:rPr>
              <w:t xml:space="preserve"> на дату переговоров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Ключевая ставка обновлена (14,0%), но ставка дисконтирования строится на доходности 10-летних ОФЗ — она осталась на 21.05.2026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владелец / помощник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Решить по стоимости входа</w:t>
            </w:r>
            <w:r>
              <w:rPr>
                <w:sz w:val="17"/>
              </w:rPr>
              <w:t>: оставить расчётные $248 млн, взять диапазон от подходов ранней стадии, или зафиксировать промежуточную величину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Сейчас в документах стоит расчётная величина с оговоркой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владелец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Смоделировать требования к собственным средствам оператора</w:t>
            </w:r>
            <w:r>
              <w:rPr>
                <w:sz w:val="17"/>
              </w:rPr>
              <w:t xml:space="preserve"> по 259-ФЗ и нормативным актам Банка России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Пропущенная статья потребности в капитале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помощник, после уточнения требований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Переработать переводы</w:t>
            </w:r>
            <w:r>
              <w:rPr>
                <w:sz w:val="17"/>
              </w:rPr>
              <w:t xml:space="preserve"> (английский, французский, арабский) под новую методику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Сейчас числа верные, текст описывает прежнюю методику; стоит пометка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помощник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Пересобрать слайды отчёта об оценке в PowerPoint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Файл выведен из обращения, есть PDF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вручную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Поднять серверный барьер вместо клиентского гейта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Отложено вашим решением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владелец решает срок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Добавить квартальную модель на первые 24 месяца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Замечание экспертизы; для переговоров о траншах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помощник</w:t>
            </w:r>
          </w:p>
        </w:tc>
      </w:tr>
    </w:tbl>
    <w:p/>
    <w:p>
      <w:pPr>
        <w:pStyle w:val="Heading2"/>
      </w:pPr>
      <w:r>
        <w:t>6. Почему прежние аудиты этого не показали и почему вы узнали только сейчас</w:t>
      </w:r>
    </w:p>
    <w:p>
      <w:pPr>
        <w:jc w:val="both"/>
      </w:pPr>
      <w:r>
        <w:t>Вопрос справедливый, и ответ неприятный.</w:t>
      </w:r>
    </w:p>
    <w:p>
      <w:pPr>
        <w:pStyle w:val="Heading3"/>
      </w:pPr>
      <w:r>
        <w:t>6.1. Часть находок прежние аудиты видели</w:t>
      </w:r>
    </w:p>
    <w:p>
      <w:pPr>
        <w:jc w:val="both"/>
      </w:pPr>
      <w:r>
        <w:t>Проверка от 24 мая 2026 года (частный отчёт «C · Финансовый аудит», раздел «Новые RED/AMBER») прямо написала:</w:t>
      </w:r>
    </w:p>
    <w:p>
      <w:pPr>
        <w:pStyle w:val="ListBullet"/>
      </w:pPr>
      <w:r>
        <w:t xml:space="preserve">внутренняя норма доходности 62% </w:t>
      </w:r>
      <w:r>
        <w:rPr>
          <w:b/>
        </w:rPr>
        <w:t>не воспроизводима</w:t>
      </w:r>
      <w:r>
        <w:t>; на потоках проекта получается 161%, для инвестора при выходе на седьмой год — 28,6%;</w:t>
      </w:r>
    </w:p>
    <w:p>
      <w:pPr>
        <w:pStyle w:val="ListBullet"/>
      </w:pPr>
      <w:r>
        <w:t xml:space="preserve">окупаемость проекта — </w:t>
      </w:r>
      <w:r>
        <w:rPr>
          <w:b/>
        </w:rPr>
        <w:t>3,24 года</w:t>
      </w:r>
      <w:r>
        <w:t>, а не 2,8;</w:t>
      </w:r>
    </w:p>
    <w:p>
      <w:pPr>
        <w:pStyle w:val="ListBullet"/>
      </w:pPr>
      <w:r>
        <w:t xml:space="preserve">имитационное моделирование </w:t>
      </w:r>
      <w:r>
        <w:rPr>
          <w:b/>
        </w:rPr>
        <w:t>не реализовано в коде</w:t>
      </w:r>
      <w:r>
        <w:t>, привести его результаты нельзя;</w:t>
      </w:r>
    </w:p>
    <w:p>
      <w:pPr>
        <w:pStyle w:val="ListBullet"/>
      </w:pPr>
      <w:r>
        <w:t>терминальная стоимость посчитана с ошибкой примерно втрое;</w:t>
      </w:r>
    </w:p>
    <w:p>
      <w:pPr>
        <w:pStyle w:val="ListBullet"/>
      </w:pPr>
      <w:r>
        <w:t xml:space="preserve">потребность в промежуточном финансировании имеет </w:t>
      </w:r>
      <w:r>
        <w:rPr>
          <w:b/>
        </w:rPr>
        <w:t>три разные величины</w:t>
      </w:r>
      <w:r>
        <w:t xml:space="preserve"> в трёх документах;</w:t>
      </w:r>
    </w:p>
    <w:p>
      <w:pPr>
        <w:pStyle w:val="ListBullet"/>
      </w:pPr>
      <w:r>
        <w:t xml:space="preserve">клиентские документы и сайт </w:t>
      </w:r>
      <w:r>
        <w:rPr>
          <w:b/>
        </w:rPr>
        <w:t>не синхронизированы</w:t>
      </w:r>
      <w:r>
        <w:t xml:space="preserve"> со сводом показателей;</w:t>
      </w:r>
    </w:p>
    <w:p>
      <w:pPr>
        <w:pStyle w:val="ListBullet"/>
      </w:pPr>
      <w:r>
        <w:t>отдельно зафиксирован след машинной правки: «реалистичные 74,8% вместо нереалистичных 74,8%».</w:t>
      </w:r>
    </w:p>
    <w:p>
      <w:pPr>
        <w:jc w:val="both"/>
      </w:pPr>
      <w:r>
        <w:t>То есть примерно половина сегодняшних находок была известна ещё в мае.</w:t>
      </w:r>
    </w:p>
    <w:p>
      <w:pPr>
        <w:pStyle w:val="Heading3"/>
      </w:pPr>
      <w:r>
        <w:t>6.2. Почему они не были устранены</w:t>
      </w:r>
    </w:p>
    <w:p>
      <w:pPr>
        <w:jc w:val="both"/>
      </w:pPr>
      <w:r>
        <w:rPr>
          <w:b/>
        </w:rPr>
        <w:t>Исправляли текст, а не расчёт.</w:t>
      </w:r>
      <w:r>
        <w:t xml:space="preserve"> После аудита правки вносились подстановкой строк в документы. Отсюда и следы вроде «вместо нереалистичных 74,8%», и «поднята с $70–140 млн до $70–140 млн». Сам расчёт при этом не пересобирался.</w:t>
      </w:r>
    </w:p>
    <w:p>
      <w:pPr>
        <w:jc w:val="both"/>
      </w:pPr>
      <w:r>
        <w:rPr>
          <w:b/>
        </w:rPr>
        <w:t>Расхождение закрыли множителем.</w:t>
      </w:r>
      <w:r>
        <w:t xml:space="preserve"> Разбор от 10 июня 2026 года честно установил: «документированные таблицы содержали арифметические ошибки (итог выручки ≠ сумма строк; терминальная стоимость занижена втрое)». Но вместо пересчёта было принято решение зафиксировать «консервативную стойку» и подогнать интерактивный виджет коэффициентом </w:t>
      </w:r>
      <w:r>
        <w:rPr>
          <w:rFonts w:ascii="Consolas" w:hAnsi="Consolas"/>
          <w:sz w:val="18"/>
        </w:rPr>
        <w:t>realizationFactor = 0,78</w:t>
      </w:r>
      <w:r>
        <w:t>. Ошибка была задокументирована и оставлена.</w:t>
      </w:r>
    </w:p>
    <w:p>
      <w:pPr>
        <w:jc w:val="both"/>
      </w:pPr>
      <w:r>
        <w:rPr>
          <w:b/>
        </w:rPr>
        <w:t>Каждый следующий аудит проверял предыдущие заявления, а не цифры.</w:t>
      </w:r>
      <w:r>
        <w:t xml:space="preserve"> Последний круг (пост-Горизонт-III) поставил проекту 9,22 из 10 и объявил все двенадцать критических замечаний закрытыми, финансовый контур — 8,2 из 10. Сегодняшняя проверка показывает, что на тот момент модель по-прежнему не сходилась. Балл ставился за наличие исправлений в журнале, а не за пересчёт.</w:t>
      </w:r>
    </w:p>
    <w:p>
      <w:pPr>
        <w:jc w:val="both"/>
      </w:pPr>
      <w:r>
        <w:rPr>
          <w:b/>
        </w:rPr>
        <w:t>Средства контроля охраняли неверные цифры.</w:t>
      </w:r>
      <w:r>
        <w:t xml:space="preserve"> CI-инспектор был настроен требовать наличия в документах именно тех величин, которые оказались ошибочными (63,4 / 62% / 2,8 / 13,04%). Он честно докладывал «все инварианты в порядке». А конвейер пересборки HTML, объявленный «структурно устраняющим рассинхрон», опирался на pandoc, которого в системе нет — то есть не работал ни разу.</w:t>
      </w:r>
    </w:p>
    <w:p>
      <w:pPr>
        <w:jc w:val="both"/>
      </w:pPr>
      <w:r>
        <w:rPr>
          <w:b/>
        </w:rPr>
        <w:t>Не было единого расчётного источника.</w:t>
      </w:r>
      <w:r>
        <w:t xml:space="preserve"> Числа хранились раздельно в десяти документах, расчётной таблице, словарях переводов на четырёх языках и в коде виджета. При таком устройстве рассинхрон не вопрос дисциплины, а вопрос времени.</w:t>
      </w:r>
    </w:p>
    <w:p>
      <w:pPr>
        <w:pStyle w:val="Heading3"/>
      </w:pPr>
      <w:r>
        <w:t>6.3. Чего прежние аудиты не увидели вовсе</w:t>
      </w:r>
    </w:p>
    <w:p>
      <w:pPr>
        <w:pStyle w:val="ListBullet"/>
      </w:pPr>
      <w:r>
        <w:t>Ставку налога на прибыль 20% вместо действующих 25% — это не арифметика, а факт законодательства, и его никто не сверил.</w:t>
      </w:r>
    </w:p>
    <w:p>
      <w:pPr>
        <w:pStyle w:val="ListBullet"/>
      </w:pPr>
      <w:r>
        <w:t>Двойное применение скидки за стадию — находка в вашу пользу, и именно поэтому её никто не искал.</w:t>
      </w:r>
    </w:p>
    <w:p>
      <w:pPr>
        <w:pStyle w:val="ListBullet"/>
      </w:pPr>
      <w:r>
        <w:t>Несводимость фонда оплаты труда с численностью.</w:t>
      </w:r>
    </w:p>
    <w:p>
      <w:pPr>
        <w:pStyle w:val="ListBullet"/>
      </w:pPr>
      <w:r>
        <w:t>Капитальные вложения 1,3 млрд ₽ против 13,57 млрд ₽ в бизнес-плане.</w:t>
      </w:r>
    </w:p>
    <w:p>
      <w:pPr>
        <w:pStyle w:val="ListBullet"/>
      </w:pPr>
      <w:r>
        <w:t>Устаревание базового года: модель, построенная от 2025 года, к сентябрю 2026 описывала прошлое, которого не было.</w:t>
      </w:r>
    </w:p>
    <w:p>
      <w:pPr>
        <w:pStyle w:val="Heading3"/>
      </w:pPr>
      <w:r>
        <w:t>6.4. Почему это не дошло до вас</w:t>
      </w:r>
    </w:p>
    <w:p>
      <w:pPr>
        <w:jc w:val="both"/>
      </w:pPr>
      <w:r>
        <w:t xml:space="preserve">Отчёты аудитов — внутренние технические документы на десятки страниц с баллами по контурам. Они лежали в </w:t>
      </w:r>
      <w:r>
        <w:rPr>
          <w:rFonts w:ascii="Consolas" w:hAnsi="Consolas"/>
          <w:sz w:val="18"/>
        </w:rPr>
        <w:t>14_Аудит</w:t>
      </w:r>
      <w:r>
        <w:t xml:space="preserve"> и не превращались в короткий список «что именно неверно в цифрах, которые вы показываете партнёрам». До вас доходил журнал рефактора со словом «закрыто».</w:t>
      </w:r>
    </w:p>
    <w:p>
      <w:pPr>
        <w:jc w:val="both"/>
      </w:pPr>
      <w:r>
        <w:t>Прямо: это не ваш недосмотр. Работа была выполнена не до конца, а отчёт о ней был оптимистичнее факта. Именно поэтому в этой ревизии сделан не разбор, а пересчёт, и поставлены две автоматические проверки, которые нельзя пройти «декларативно».</w:t>
      </w:r>
    </w:p>
    <w:p>
      <w:pPr>
        <w:pStyle w:val="Heading2"/>
      </w:pPr>
      <w:r>
        <w:t>7. Что изменено в порядке работы, чтобы это не повторилось</w:t>
      </w:r>
    </w:p>
    <w:p>
      <w:pPr>
        <w:pStyle w:val="ListNumber"/>
      </w:pPr>
      <w:r>
        <w:rPr>
          <w:b/>
        </w:rPr>
        <w:t>Один источник цифр.</w:t>
      </w:r>
      <w:r>
        <w:t xml:space="preserve"> Все величины — в </w:t>
      </w:r>
      <w:r>
        <w:rPr>
          <w:rFonts w:ascii="Consolas" w:hAnsi="Consolas"/>
          <w:sz w:val="18"/>
        </w:rPr>
        <w:t>assumptions.json</w:t>
      </w:r>
      <w:r>
        <w:t>. Документы собираются из движка; ручная правка цифр в тексте затирается при следующей сборке.</w:t>
      </w:r>
    </w:p>
    <w:p>
      <w:pPr>
        <w:pStyle w:val="ListNumber"/>
      </w:pPr>
      <w:r>
        <w:rPr>
          <w:b/>
        </w:rPr>
        <w:t>Самопроверка сходимости</w:t>
      </w:r>
      <w:r>
        <w:t xml:space="preserve"> встроена в движок: если итог не равен сумме строк, сборка документов не выполняется.</w:t>
      </w:r>
    </w:p>
    <w:p>
      <w:pPr>
        <w:pStyle w:val="ListNumber"/>
      </w:pPr>
      <w:r>
        <w:rPr>
          <w:b/>
        </w:rPr>
        <w:t>Поиск устаревших показателей</w:t>
      </w:r>
      <w:r>
        <w:t xml:space="preserve"> по всем файлам проекта — отдельный сценарий, возвращает ошибку при находке.</w:t>
      </w:r>
    </w:p>
    <w:p>
      <w:pPr>
        <w:pStyle w:val="ListNumber"/>
      </w:pPr>
      <w:r>
        <w:rPr>
          <w:b/>
        </w:rPr>
        <w:t>CI-инспектор</w:t>
      </w:r>
      <w:r>
        <w:t xml:space="preserve"> запускает движок и поиск устаревших величин; пройти его декларативно нельзя.</w:t>
      </w:r>
    </w:p>
    <w:p>
      <w:pPr>
        <w:pStyle w:val="ListNumber"/>
      </w:pPr>
      <w:r>
        <w:rPr>
          <w:b/>
        </w:rPr>
        <w:t>Рабочий конвейер сборки</w:t>
      </w:r>
      <w:r>
        <w:t xml:space="preserve"> вместо неработающего: HTML, PDF и Word собираются на установленных в системе средствах.</w:t>
      </w:r>
    </w:p>
    <w:p>
      <w:pPr>
        <w:pStyle w:val="ListNumber"/>
      </w:pPr>
      <w:r>
        <w:rPr>
          <w:b/>
        </w:rPr>
        <w:t>Оговорки рядом с цифрами.</w:t>
      </w:r>
      <w:r>
        <w:t xml:space="preserve"> Показатели, которые нельзя приводить без пояснения (внутренняя норма доходности 182%, стоимость входа при двенадцатикратном разбросе подходов, медиана имитации ниже базового сценария), сопровождаются оговоркой в самих документах, а не только в этом отчёте.</w:t>
      </w:r>
    </w:p>
    <w:p>
      <w:pPr>
        <w:pStyle w:val="Heading2"/>
      </w:pPr>
      <w:r>
        <w:t>8. Как проверить сказанное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Что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Пересчитать модель и увидеть самопроверку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"03_Финансовая_модель\Модель\model.py"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Пересобрать документ финмодели из движка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"03_Финансовая_модель\Модель\собрать_документ.py"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Проверить, что устаревших цифр в проекте нет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"_tools\проверка_цифр.py"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Прогнать все инварианты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powershell -ExecutionPolicy Bypass -File "_tools\ci_invariants.ps1"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Пересобрать HTML / PDF / Word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python "_tools\build_docs.py"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build_pdf.py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build_docx.py</w:t>
            </w:r>
          </w:p>
        </w:tc>
      </w:tr>
    </w:tbl>
    <w:p/>
    <w:p>
      <w:pPr>
        <w:jc w:val="both"/>
      </w:pPr>
      <w:r>
        <w:t xml:space="preserve">Оригиналы документов до правки — </w:t>
      </w:r>
      <w:r>
        <w:rPr>
          <w:rFonts w:ascii="Consolas" w:hAnsi="Consolas"/>
          <w:sz w:val="18"/>
        </w:rPr>
        <w:t>_рабочее/backup_2026-09-07_ревизия_финмодели/</w:t>
      </w:r>
      <w:r>
        <w:t>. Ничего не удалено.</w:t>
      </w:r>
    </w:p>
    <w:p>
      <w:pPr>
        <w:pStyle w:val="Heading2"/>
      </w:pPr>
      <w:r>
        <w:t>9. Решения владельца, учтённые в этой редакции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Как учтено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НДС по операциям с ЦФА нет</w:t>
            </w:r>
            <w:r>
              <w:rPr>
                <w:sz w:val="17"/>
              </w:rPr>
              <w:t xml:space="preserve"> — активы отнесены к ценным бумагам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Оговорка «требует подтверждения» снята. В финмодели, записке о допущениях, бизнес-плане и отчёте об оценке приведено основание: пп. 12 п. 2 ст. 149 НК РФ, освобождение реализации ценных бумаг. Числа не изменились — НДС и раньше в модель не закладывался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Ключевая ставка Банка России 14,0%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Приведена во всех документах и в наборе допущений, дата — 07.09.2026. На ставку дисконтирования не влияет: она строится на доходности 10-летних ОФЗ, а ключевая ставка используется только как проверочный ориентир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Стартовый раунд 1,8 млрд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Поставлен в наборе допущений; доля инвестора пересчитана программно: $25 млн при стоимости входа $248 млн даёт </w:t>
            </w:r>
            <w:r>
              <w:rPr>
                <w:b/>
                <w:sz w:val="17"/>
              </w:rPr>
              <w:t>9,21%</w:t>
            </w:r>
            <w:r>
              <w:rPr>
                <w:sz w:val="17"/>
              </w:rPr>
              <w:t>, post-money $273 млн (19,54 млрд ₽). Показатели инвестора: поступления 33,1 млрд ₽, кратность 18,4×, доходность 51,6%. Раунд покрывает расчётную потребность 1,70 млрд ₽ с запасом 99 млн ₽</w:t>
            </w:r>
          </w:p>
        </w:tc>
      </w:tr>
    </w:tbl>
    <w:p/>
    <w:p>
      <w:pPr>
        <w:jc w:val="both"/>
      </w:pPr>
      <w:r>
        <w:rPr>
          <w:b/>
        </w:rPr>
        <w:t>Отчёт составлен 7 сентября 2026 года по итогам ревизии финансовой части и глубокой проверки проекта ЦП РСФСР. Редакция 2 — с учётом решений владельца от 07.09.2026.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