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RFP — Vendor Due Diligence (Big-4)</w:t>
      </w:r>
    </w:p>
    <w:p>
      <w:pPr>
        <w:jc w:val="both"/>
      </w:pPr>
      <w:r>
        <w:rPr>
          <w:b/>
        </w:rPr>
        <w:t>Project:</w:t>
      </w:r>
      <w:r>
        <w:t xml:space="preserve"> Цифровая Платформа РСФСР — оператор ЦФА под залог недвижимости с эмиссией под нацпроекты </w:t>
      </w:r>
      <w:r>
        <w:rPr>
          <w:b/>
        </w:rPr>
        <w:t>Заказчик:</w:t>
      </w:r>
      <w:r>
        <w:t xml:space="preserve"> Кагиров Абдул-Хаким Ахмадович (Center Group Company) — единоличный правообладатель концепции (свид. №4011265 от 19.12.2024) </w:t>
      </w:r>
      <w:r>
        <w:rPr>
          <w:b/>
        </w:rPr>
        <w:t>Engagement reference:</w:t>
      </w:r>
      <w:r>
        <w:t xml:space="preserve"> RSFSR-DD-2026 </w:t>
      </w:r>
      <w:r>
        <w:rPr>
          <w:b/>
        </w:rPr>
        <w:t>Дата выпуска RFP:</w:t>
      </w:r>
      <w:r>
        <w:t xml:space="preserve"> 24.05.2026 </w:t>
      </w:r>
      <w:r>
        <w:rPr>
          <w:b/>
        </w:rPr>
        <w:t>Дедлайн оферт:</w:t>
      </w:r>
      <w:r>
        <w:t xml:space="preserve"> T+21 день (15.06.2026)</w:t>
      </w:r>
    </w:p>
    <w:p>
      <w:pPr>
        <w:pStyle w:val="Heading2"/>
      </w:pPr>
      <w:r>
        <w:t>1. Цель Engagement</w:t>
      </w:r>
    </w:p>
    <w:p>
      <w:pPr>
        <w:jc w:val="both"/>
      </w:pPr>
      <w:r>
        <w:t>Получение независимого vendor due diligence заключения tier-1 уровня (Big-4) по проекту ЦП РСФСР с целью обеспечения инвестпривлекательности перед стартовым раундом $25 млн / ₽1,8 млрд (pre-money $248 млн, post-money $273 млн, доля инвестора 9,21%) и подготовки к Series A.</w:t>
      </w:r>
    </w:p>
    <w:p>
      <w:pPr>
        <w:jc w:val="both"/>
      </w:pPr>
      <w:r>
        <w:t>Заключение должно отвечать стандарту инвестиционных меморандумов tier-1 PE/VC сделок и быть приемлемым для следующих категорий участников:</w:t>
      </w:r>
    </w:p>
    <w:p>
      <w:pPr>
        <w:pStyle w:val="ListBullet"/>
      </w:pPr>
      <w:r>
        <w:t>Институциональные инвесторы РФ (НПФ, страховые, частные банки)</w:t>
      </w:r>
    </w:p>
    <w:p>
      <w:pPr>
        <w:pStyle w:val="ListBullet"/>
      </w:pPr>
      <w:r>
        <w:t>Private equity / venture capital фонды (РФ + ЕАЭС + дружественные юрисдикции)</w:t>
      </w:r>
    </w:p>
    <w:p>
      <w:pPr>
        <w:pStyle w:val="ListBullet"/>
      </w:pPr>
      <w:r>
        <w:t>Кредитные комитеты институтов развития (ВЭБ.РФ, ФПФ)</w:t>
      </w:r>
    </w:p>
    <w:p>
      <w:pPr>
        <w:pStyle w:val="ListBullet"/>
      </w:pPr>
      <w:r>
        <w:t>Внутренние комплаенс-комитеты потенциальных Limited Partners</w:t>
      </w:r>
    </w:p>
    <w:p>
      <w:pPr>
        <w:pStyle w:val="Heading2"/>
      </w:pPr>
      <w:r>
        <w:t>2. Scope of Work</w:t>
      </w:r>
    </w:p>
    <w:p>
      <w:pPr>
        <w:pStyle w:val="Heading3"/>
      </w:pPr>
      <w:r>
        <w:t>2.1. Financial Due Diligence</w:t>
      </w:r>
    </w:p>
    <w:p>
      <w:pPr>
        <w:pStyle w:val="ListBullet"/>
      </w:pPr>
      <w:r>
        <w:rPr>
          <w:b/>
        </w:rPr>
        <w:t>Quality of Earnings (QoE):</w:t>
      </w:r>
      <w:r>
        <w:t xml:space="preserve"> анализ финансовой модели на горизонт 2027–2036 + терминальная стоимость по модели Гордона. Identification of normalizations, one-offs, working capital adjustments.</w:t>
      </w:r>
    </w:p>
    <w:p>
      <w:pPr>
        <w:pStyle w:val="ListBullet"/>
      </w:pPr>
      <w:r>
        <w:rPr>
          <w:b/>
        </w:rPr>
        <w:t>NPV / IRR / Payback verification:</w:t>
      </w:r>
      <w:r>
        <w:t xml:space="preserve"> независимый перерасчёт всех ключевых показателей (NPV полная 63,0 млрд ₽; IRR project-level 62%; Payback 2,73 года; EM 7–12×) на основе исходной финмодели в </w:t>
      </w:r>
      <w:r>
        <w:rPr>
          <w:rFonts w:ascii="Consolas" w:hAnsi="Consolas"/>
          <w:sz w:val="18"/>
        </w:rPr>
        <w:t>03_Финансовая_модель/</w:t>
      </w:r>
      <w:r>
        <w:t>.</w:t>
      </w:r>
    </w:p>
    <w:p>
      <w:pPr>
        <w:pStyle w:val="ListBullet"/>
      </w:pPr>
      <w:r>
        <w:rPr>
          <w:b/>
        </w:rPr>
        <w:t>WACC validation:</w:t>
      </w:r>
      <w:r>
        <w:t xml:space="preserve"> проверка build-up структуры (RF 14,73% + ERP×β 9,35% + Stage premium 2,5% + Liquidity premium 3,0% = 29,5%) против Damodaran май 2026, КС ЦБ, биржевых данных ОФЗ.</w:t>
      </w:r>
    </w:p>
    <w:p>
      <w:pPr>
        <w:pStyle w:val="ListBullet"/>
      </w:pPr>
      <w:r>
        <w:rPr>
          <w:b/>
        </w:rPr>
        <w:t>Sensitivity &amp; scenario analysis:</w:t>
      </w:r>
      <w:r>
        <w:t xml:space="preserve"> независимый Monte Carlo (≥ 10 000 итераций), tornado-диаграмма по ≥ 8 драйверам, stress-testing cash-runway.</w:t>
      </w:r>
    </w:p>
    <w:p>
      <w:pPr>
        <w:pStyle w:val="ListBullet"/>
      </w:pPr>
      <w:r>
        <w:rPr>
          <w:b/>
        </w:rPr>
        <w:t>Comparable transactions:</w:t>
      </w:r>
      <w:r>
        <w:t xml:space="preserve"> триангуляция оценки через Comparable Multiples (EV/Revenue, EV/EBITDA, EV/AUM) на базе PitchBook / Crunchbase / Refinitiv по 10+ сопоставимым сделкам в сегментах ЦФА / fintech-операторы / финансовые маркетплейсы.</w:t>
      </w:r>
    </w:p>
    <w:p>
      <w:pPr>
        <w:pStyle w:val="ListBullet"/>
      </w:pPr>
      <w:r>
        <w:rPr>
          <w:b/>
        </w:rPr>
        <w:t>Audit opinion:</w:t>
      </w:r>
      <w:r>
        <w:t xml:space="preserve"> на достоверность исходных данных и методологии, не на абсолютную справедливую стоимость.</w:t>
      </w:r>
    </w:p>
    <w:p>
      <w:pPr>
        <w:pStyle w:val="Heading3"/>
      </w:pPr>
      <w:r>
        <w:t>2.2. Tax Due Diligence</w:t>
      </w:r>
    </w:p>
    <w:p>
      <w:pPr>
        <w:pStyle w:val="ListBullet"/>
      </w:pPr>
      <w:r>
        <w:t>Анализ налоговой позиции оператора ЦФА в текущей редакции НК РФ:</w:t>
      </w:r>
    </w:p>
    <w:p>
      <w:pPr>
        <w:pStyle w:val="ListBullet"/>
      </w:pPr>
      <w:r>
        <w:t>НДС: пп. 12.2 п. 2 ст. 149 НК (ФЗ № 324-ФЗ от 31.07.2020) — освобождение операций с ЦФА.</w:t>
      </w:r>
    </w:p>
    <w:p>
      <w:pPr>
        <w:pStyle w:val="ListBullet"/>
      </w:pPr>
      <w:r>
        <w:t>Налог на прибыль 25% (176-ФЗ от 12.07.2024, с 01.01.2025) — стандартная ставка; возможность ИТ-льготы 5% (до 31.12.2030) при ≥ 70% ИТ-выручки + ИТ-аккредитации.</w:t>
      </w:r>
    </w:p>
    <w:p>
      <w:pPr>
        <w:pStyle w:val="ListBullet"/>
      </w:pPr>
      <w:r>
        <w:t>Страховые взносы 30% (НК РФ, гл. 34).</w:t>
      </w:r>
    </w:p>
    <w:p>
      <w:pPr>
        <w:pStyle w:val="ListBullet"/>
      </w:pPr>
      <w:r>
        <w:t>Налог на имущество — отсутствует (нематериальные активы).</w:t>
      </w:r>
    </w:p>
    <w:p>
      <w:pPr>
        <w:pStyle w:val="ListBullet"/>
      </w:pPr>
      <w:r>
        <w:t>Структурирование ЦФА-сделок для оптимизации налоговой нагрузки.</w:t>
      </w:r>
    </w:p>
    <w:p>
      <w:pPr>
        <w:pStyle w:val="ListBullet"/>
      </w:pPr>
      <w:r>
        <w:t>Анализ налоговых рисков по wedge-конструкции (Stage 1 без поправок vs Stage 2 пакет 4 ФЗ).</w:t>
      </w:r>
    </w:p>
    <w:p>
      <w:pPr>
        <w:pStyle w:val="ListBullet"/>
      </w:pPr>
      <w:r>
        <w:t>Trans-jurisdiction tax matters (FATCA / CRS) — если применимо для international LP.</w:t>
      </w:r>
    </w:p>
    <w:p>
      <w:pPr>
        <w:pStyle w:val="Heading3"/>
      </w:pPr>
      <w:r>
        <w:t>2.3. IFRS-grade DCF Review</w:t>
      </w:r>
    </w:p>
    <w:p>
      <w:pPr>
        <w:pStyle w:val="ListBullet"/>
      </w:pPr>
      <w:r>
        <w:t>Build IFRS 13-compliant fair value measurement framework для проекта.</w:t>
      </w:r>
    </w:p>
    <w:p>
      <w:pPr>
        <w:pStyle w:val="ListBullet"/>
      </w:pPr>
      <w:r>
        <w:t>Apply level-3 valuation hierarchy (unobservable inputs) с явным disclosure assumptions.</w:t>
      </w:r>
    </w:p>
    <w:p>
      <w:pPr>
        <w:pStyle w:val="ListBullet"/>
      </w:pPr>
      <w:r>
        <w:t>IFRS 16 lease accounting impact на OpEx-кривую (ЦОДы, офисы).</w:t>
      </w:r>
    </w:p>
    <w:p>
      <w:pPr>
        <w:pStyle w:val="ListBullet"/>
      </w:pPr>
      <w:r>
        <w:t>IFRS 9 financial instruments classification — для ЦФА в роли финансовых активов.</w:t>
      </w:r>
    </w:p>
    <w:p>
      <w:pPr>
        <w:pStyle w:val="ListBullet"/>
      </w:pPr>
      <w:r>
        <w:t>IFRS 7 financial instruments disclosure — risk management framework.</w:t>
      </w:r>
    </w:p>
    <w:p>
      <w:pPr>
        <w:pStyle w:val="ListBullet"/>
      </w:pPr>
      <w:r>
        <w:t>IFRS 15 revenue recognition — для комиссионной модели (5 потоков: feeIssue, feeService, feePlatform, feeB2B, feeAppraisal).</w:t>
      </w:r>
    </w:p>
    <w:p>
      <w:pPr>
        <w:pStyle w:val="Heading3"/>
      </w:pPr>
      <w:r>
        <w:t>2.4. Fairness Opinion</w:t>
      </w:r>
    </w:p>
    <w:p>
      <w:pPr>
        <w:jc w:val="both"/>
      </w:pPr>
      <w:r>
        <w:t>Независимое заключение «Fairness Opinion» в стандарте AICPA Statement on Standards for Valuation Services (SSVS-1) или IVSC International Valuation Standards 2026. Заключение должно явно адресовать:</w:t>
      </w:r>
    </w:p>
    <w:p>
      <w:pPr>
        <w:pStyle w:val="ListBullet"/>
      </w:pPr>
      <w:r>
        <w:t>Обоснованность расчётной стоимости входа $248 млн при диапазоне по сценариям $164–301 млн и разбросе между подходами в двенадцать раз;</w:t>
      </w:r>
    </w:p>
    <w:p>
      <w:pPr>
        <w:pStyle w:val="ListBullet"/>
      </w:pPr>
      <w:r>
        <w:t>Cost of capital appropriateness (30% WACC RUB);</w:t>
      </w:r>
    </w:p>
    <w:p>
      <w:pPr>
        <w:pStyle w:val="ListBullet"/>
      </w:pPr>
      <w:r>
        <w:t>Going concern assumption по cash-runway (peak negative cumulative -2,1 млрд ₽);</w:t>
      </w:r>
    </w:p>
    <w:p>
      <w:pPr>
        <w:pStyle w:val="ListBullet"/>
      </w:pPr>
      <w:r>
        <w:t>Methodology choices (Gordon terminal value, DCF vs comparable multiples, WACC build-up vs CAPM).</w:t>
      </w:r>
    </w:p>
    <w:p>
      <w:pPr>
        <w:pStyle w:val="Heading2"/>
      </w:pPr>
      <w:r>
        <w:t>3. Deliverables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Документ</w:t>
            </w:r>
          </w:p>
        </w:tc>
        <w:tc>
          <w:tcPr>
            <w:tcW w:type="dxa" w:w="288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Формат</w:t>
            </w:r>
          </w:p>
        </w:tc>
        <w:tc>
          <w:tcPr>
            <w:tcW w:type="dxa" w:w="288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Срок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Inception Report (kick-off + workplan)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PDF, 8–12 стр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T+10 дней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Mid-term Findings (interim)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PDF, 20–30 стр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T+30 дней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Draft VDD Report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PDF + Excel workbook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T+45 дней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Final VDD Report (LMA-стиль)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PDF, 60–120 стр + Datapack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T+60 дней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Fairness Opinion (signed by Partner)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PDF, 6–10 стр, signed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T+60 дней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Q&amp;A management session (видеоконференция)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2–3 сессии × 2 ч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По графику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Investor presentation summary (board-deck friendly)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PDF, 10–15 стр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T+60 дней</w:t>
            </w:r>
          </w:p>
        </w:tc>
      </w:tr>
    </w:tbl>
    <w:p/>
    <w:p>
      <w:pPr>
        <w:jc w:val="both"/>
      </w:pPr>
      <w:r>
        <w:t>Все deliverables — на русском (основной) + английском (executive summary + key findings).</w:t>
      </w:r>
    </w:p>
    <w:p>
      <w:pPr>
        <w:pStyle w:val="Heading2"/>
      </w:pPr>
      <w:r>
        <w:t>4. Качество и независимость</w:t>
      </w:r>
    </w:p>
    <w:p>
      <w:pPr>
        <w:pStyle w:val="ListBullet"/>
      </w:pPr>
      <w:r>
        <w:t>Партнёр-подписант должен быть сертифицирован в одной из следующих систем: ACA (ICAEW), CPA, CFA Charter, ASA (American Society of Appraisers).</w:t>
      </w:r>
    </w:p>
    <w:p>
      <w:pPr>
        <w:pStyle w:val="ListBullet"/>
      </w:pPr>
      <w:r>
        <w:t>Команда — минимум 4 человека: Engagement Partner + Senior Manager + 2 Analysts; CV — обязательны.</w:t>
      </w:r>
    </w:p>
    <w:p>
      <w:pPr>
        <w:pStyle w:val="ListBullet"/>
      </w:pPr>
      <w:r>
        <w:t>Conflict of interest disclosure (обязательно): проверить engagement с любыми связанными с проектом сторонами (АО «Атомайз», ВЭБ.РФ, банк-партнёр, резервный банк-партнёр, аффилированные структуры) за последние 36 мес.</w:t>
      </w:r>
    </w:p>
    <w:p>
      <w:pPr>
        <w:pStyle w:val="ListBullet"/>
      </w:pPr>
      <w:r>
        <w:t>Insurance: Professional Indemnity Insurance coverage ≥ $5M.</w:t>
      </w:r>
    </w:p>
    <w:p>
      <w:pPr>
        <w:pStyle w:val="Heading2"/>
      </w:pPr>
      <w:r>
        <w:t>5. Бюджет и сроки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Параметр</w:t>
            </w:r>
          </w:p>
        </w:tc>
        <w:tc>
          <w:tcPr>
            <w:tcW w:type="dxa" w:w="432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Значение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Indicative budget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₽ 8 — 25 млн (₽ 9 — 28 млн с НДС)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Срок исполнения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6 — 10 недель от kick-off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Платежи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30% upfront / 40% mid-term / 30% по приёмке Final Report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Penalty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0,1% за каждый день просрочки сверх SLA, максимум 10% от engagement fee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Языки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RU (основной) + EN (executive summary)</w:t>
            </w:r>
          </w:p>
        </w:tc>
      </w:tr>
    </w:tbl>
    <w:p/>
    <w:p>
      <w:pPr>
        <w:pStyle w:val="Heading2"/>
      </w:pPr>
      <w:r>
        <w:t>6. Список приглашённых tier-1 firms</w:t>
      </w:r>
    </w:p>
    <w:p>
      <w:pPr>
        <w:pStyle w:val="ListNumber"/>
      </w:pPr>
      <w:r>
        <w:rPr>
          <w:b/>
        </w:rPr>
        <w:t>KPMG (РФ + member firm в дружественной юрисдикции)</w:t>
      </w:r>
      <w:r>
        <w:t xml:space="preserve"> — лидер в финансовом VDD по российским fintech-сделкам</w:t>
      </w:r>
    </w:p>
    <w:p>
      <w:pPr>
        <w:pStyle w:val="ListNumber"/>
      </w:pPr>
      <w:r>
        <w:rPr>
          <w:b/>
        </w:rPr>
        <w:t>Deloitte (РФ-преемник «Деловые Решения и Технологии»)</w:t>
      </w:r>
      <w:r>
        <w:t xml:space="preserve"> — сильная экспертиза по 779-П / 259-ФЗ</w:t>
      </w:r>
    </w:p>
    <w:p>
      <w:pPr>
        <w:pStyle w:val="ListNumber"/>
      </w:pPr>
      <w:r>
        <w:rPr>
          <w:b/>
        </w:rPr>
        <w:t>EY (РФ-преемник «Б1»)</w:t>
      </w:r>
      <w:r>
        <w:t xml:space="preserve"> — tax DD по ЦФА (ст. 34.2 НК)</w:t>
      </w:r>
    </w:p>
    <w:p>
      <w:pPr>
        <w:pStyle w:val="ListNumber"/>
      </w:pPr>
      <w:r>
        <w:rPr>
          <w:b/>
        </w:rPr>
        <w:t>PwC (РФ-преемник «Технологии Доверия»)</w:t>
      </w:r>
      <w:r>
        <w:t xml:space="preserve"> — IFRS-grade valuation</w:t>
      </w:r>
    </w:p>
    <w:p>
      <w:pPr>
        <w:pStyle w:val="ListNumber"/>
      </w:pPr>
      <w:r>
        <w:rPr>
          <w:b/>
        </w:rPr>
        <w:t>БДО / Юникон</w:t>
      </w:r>
      <w:r>
        <w:t xml:space="preserve"> — местный tier-2 fallback (если все Big-4 откажутся)</w:t>
      </w:r>
    </w:p>
    <w:p>
      <w:pPr>
        <w:pStyle w:val="Heading2"/>
      </w:pPr>
      <w:r>
        <w:t>7. NDA + Data Room</w:t>
      </w:r>
    </w:p>
    <w:p>
      <w:pPr>
        <w:pStyle w:val="ListBullet"/>
      </w:pPr>
      <w:r>
        <w:t>NDA mutual + 5-year survival</w:t>
      </w:r>
    </w:p>
    <w:p>
      <w:pPr>
        <w:pStyle w:val="ListBullet"/>
      </w:pPr>
      <w:r>
        <w:t xml:space="preserve">Доступ к Data Room в </w:t>
      </w:r>
      <w:r>
        <w:rPr>
          <w:rFonts w:ascii="Consolas" w:hAnsi="Consolas"/>
          <w:sz w:val="18"/>
        </w:rPr>
        <w:t>17_Data_room/</w:t>
      </w:r>
      <w:r>
        <w:t xml:space="preserve"> (структура по канону Intralinks/Datasite)</w:t>
      </w:r>
    </w:p>
    <w:p>
      <w:pPr>
        <w:pStyle w:val="ListBullet"/>
      </w:pPr>
      <w:r>
        <w:t>Q&amp;A через специализированный VDR-tool (Datasite / Intralinks / Firmex)</w:t>
      </w:r>
    </w:p>
    <w:p>
      <w:pPr>
        <w:pStyle w:val="ListBullet"/>
      </w:pPr>
      <w:r>
        <w:t>Permission tiers: full / restricted / Q&amp;A-only</w:t>
      </w:r>
    </w:p>
    <w:p>
      <w:pPr>
        <w:pStyle w:val="Heading2"/>
      </w:pPr>
      <w:r>
        <w:t>8. Selection criteria (50/30/20)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Критерий</w:t>
            </w:r>
          </w:p>
        </w:tc>
        <w:tc>
          <w:tcPr>
            <w:tcW w:type="dxa" w:w="432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Вес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Technical capability и опыт по аналогичным сделкам (≥ 3 ЦФА-DD за 24 мес.)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50%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Партнёр-команда (опыт ≥ 10 лет, CFA/ACA/CPA сертификации)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30%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Цена и сроки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20%</w:t>
            </w:r>
          </w:p>
        </w:tc>
      </w:tr>
    </w:tbl>
    <w:p/>
    <w:p>
      <w:pPr>
        <w:pStyle w:val="Heading2"/>
      </w:pPr>
      <w:r>
        <w:t>9. Submission</w:t>
      </w:r>
    </w:p>
    <w:p>
      <w:pPr>
        <w:pStyle w:val="ListBullet"/>
      </w:pPr>
      <w:r>
        <w:rPr>
          <w:b/>
        </w:rPr>
        <w:t>Адрес электронной почты:</w:t>
      </w:r>
      <w:r>
        <w:t xml:space="preserve"> rsfsr-dd@centergroup.ru</w:t>
      </w:r>
    </w:p>
    <w:p>
      <w:pPr>
        <w:pStyle w:val="ListBullet"/>
      </w:pPr>
      <w:r>
        <w:rPr>
          <w:b/>
        </w:rPr>
        <w:t>Контактное лицо:</w:t>
      </w:r>
      <w:r>
        <w:t xml:space="preserve"> Кагиров Абдул-Хаким Ахмадович, +7 (XXX) XXX-XX-XX</w:t>
      </w:r>
    </w:p>
    <w:p>
      <w:pPr>
        <w:pStyle w:val="ListBullet"/>
      </w:pPr>
      <w:r>
        <w:rPr>
          <w:b/>
        </w:rPr>
        <w:t>Формат оферты:</w:t>
      </w:r>
      <w:r>
        <w:t xml:space="preserve"> PDF в одном файле, до 30 страниц, включая proposal + CV + price quote</w:t>
      </w:r>
    </w:p>
    <w:p>
      <w:pPr>
        <w:pStyle w:val="ListBullet"/>
      </w:pPr>
      <w:r>
        <w:rPr>
          <w:b/>
        </w:rPr>
        <w:t>Engagement Letter draft</w:t>
      </w:r>
      <w:r>
        <w:t xml:space="preserve"> — будет подготовлен после selection</w:t>
      </w:r>
    </w:p>
    <w:p>
      <w:pPr>
        <w:jc w:val="both"/>
      </w:pPr>
      <w:r>
        <w:rPr>
          <w:b/>
        </w:rPr>
        <w:t>Дата:</w:t>
      </w:r>
      <w:r>
        <w:t xml:space="preserve"> 24.05.2026 </w:t>
      </w:r>
      <w:r>
        <w:rPr>
          <w:b/>
        </w:rPr>
        <w:t>Автор и правообладатель:</w:t>
      </w:r>
      <w:r>
        <w:t xml:space="preserve"> Кагиров А.-Х.А. (свид. №4011265 от 19.12.2024) </w:t>
      </w:r>
      <w:r>
        <w:rPr>
          <w:b/>
        </w:rPr>
        <w:t>Engagement reference:</w:t>
      </w:r>
      <w:r>
        <w:t xml:space="preserve"> RSFSR-DD-2026</w:t>
      </w:r>
    </w:p>
    <w:p>
      <w:pPr>
        <w:jc w:val="both"/>
      </w:pPr>
      <w:r>
        <w:t>Center Group Company  ·  Адрес для корреспонденции и контактные данные — по запросу.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Georgia" w:hAnsi="Georgi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