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Финансовая модель ЦП РСФСР</w:t>
      </w:r>
    </w:p>
    <w:p>
      <w:pPr>
        <w:jc w:val="both"/>
      </w:pPr>
      <w:r>
        <w:rPr>
          <w:b/>
        </w:rPr>
        <w:t>Автор и правообладатель:</w:t>
      </w:r>
      <w:r>
        <w:t xml:space="preserve"> Кагиров А.-Х.А. Свидетельство о депонировании №4011265 от 19.12.2024 — фиксация даты приоритета и хеша произведения; режим охраны — ноу-хау (ст. 1465 ГК) + программа для ЭВМ (ст. 1262 ГК, регистрация в Роспатенте — в работе).</w:t>
      </w:r>
    </w:p>
    <w:p>
      <w:pPr>
        <w:jc w:val="both"/>
      </w:pPr>
      <w:r>
        <w:rPr>
          <w:b/>
        </w:rPr>
        <w:t>Редакция:</w:t>
      </w:r>
      <w:r>
        <w:t xml:space="preserve"> v5 от 07.09.2026. </w:t>
      </w:r>
      <w:r>
        <w:rPr>
          <w:b/>
        </w:rPr>
        <w:t>Горизонт:</w:t>
      </w:r>
      <w:r>
        <w:t xml:space="preserve"> 10 лет (2027–2036) + терминальная стоимость. </w:t>
      </w:r>
      <w:r>
        <w:rPr>
          <w:b/>
        </w:rPr>
        <w:t>Дата оценки:</w:t>
      </w:r>
      <w:r>
        <w:t xml:space="preserve"> 31.12.2026. </w:t>
      </w:r>
      <w:r>
        <w:rPr>
          <w:b/>
        </w:rPr>
        <w:t>Валюта:</w:t>
      </w:r>
      <w:r>
        <w:t xml:space="preserve"> рубли; если не указано иное — млн ₽.</w:t>
      </w:r>
    </w:p>
    <w:p>
      <w:pPr>
        <w:ind w:left="360"/>
      </w:pPr>
      <w:r>
        <w:rPr>
          <w:b/>
          <w:i/>
          <w:color w:val="444444"/>
        </w:rPr>
        <w:t>Все числа этого документа рассчитаны программно</w:t>
      </w:r>
      <w:r>
        <w:rPr>
          <w:i/>
          <w:color w:val="444444"/>
        </w:rPr>
        <w:t xml:space="preserve"> и выведены из одного набора допущений </w:t>
      </w:r>
      <w:r>
        <w:rPr>
          <w:rFonts w:ascii="Consolas" w:hAnsi="Consolas"/>
          <w:i/>
          <w:color w:val="444444"/>
          <w:sz w:val="18"/>
        </w:rPr>
        <w:t>Модель/assumptions.json</w:t>
      </w:r>
      <w:r>
        <w:rPr>
          <w:i/>
          <w:color w:val="444444"/>
        </w:rPr>
        <w:t xml:space="preserve">. Документ собирается скриптом </w:t>
      </w:r>
      <w:r>
        <w:rPr>
          <w:rFonts w:ascii="Consolas" w:hAnsi="Consolas"/>
          <w:i/>
          <w:color w:val="444444"/>
          <w:sz w:val="18"/>
        </w:rPr>
        <w:t>Модель/собрать_документ.py</w:t>
      </w:r>
      <w:r>
        <w:rPr>
          <w:i/>
          <w:color w:val="444444"/>
        </w:rPr>
        <w:t xml:space="preserve">; править цифры в тексте вручную нельзя — они будут затёрты при следующей сборке. Машинная выгрузка: </w:t>
      </w:r>
      <w:r>
        <w:rPr>
          <w:rFonts w:ascii="Consolas" w:hAnsi="Consolas"/>
          <w:i/>
          <w:color w:val="444444"/>
          <w:sz w:val="18"/>
        </w:rPr>
        <w:t>Модель/Выгрузка/*.csv</w:t>
      </w:r>
      <w:r>
        <w:rPr>
          <w:i/>
          <w:color w:val="444444"/>
        </w:rPr>
        <w:t>.</w:t>
      </w:r>
    </w:p>
    <w:p>
      <w:pPr>
        <w:ind w:left="360"/>
      </w:pPr>
      <w:r>
        <w:rPr>
          <w:b/>
          <w:i/>
          <w:color w:val="444444"/>
        </w:rPr>
        <w:t>Самопроверка сходимости пройдена:</w:t>
      </w:r>
      <w:r>
        <w:rPr>
          <w:i/>
          <w:color w:val="444444"/>
        </w:rPr>
        <w:t xml:space="preserve"> итог выручки равен сумме строк, OpEx равен сумме ФОТ и прочих расходов, EBITDA равна выручке за вычетом OpEx, свободный денежный поток равен EBITDA за вычетом налога, прироста оборотного капитала и капитальных вложений, стоимость бизнеса равна сумме дисконтированных потоков и дисконтированной терминальной стоимости.</w:t>
      </w:r>
    </w:p>
    <w:p>
      <w:pPr>
        <w:pStyle w:val="Heading2"/>
      </w:pPr>
      <w:r>
        <w:t>Что изменилось в редакции v5</w:t>
      </w:r>
    </w:p>
    <w:p>
      <w:pPr>
        <w:jc w:val="both"/>
      </w:pPr>
      <w:r>
        <w:t>Редакция v5 — не косметическая правка, а пересчёт. Ниже перечислено, что было исправлено по существу.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было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 стало и почему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выручки не совпадал с суммой строк (в 2034 году сумма строк давала 175 492 млн ₽ при заявленном итоге 137 905 млн ₽)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считается как сумма строк. Расхождение невозможно по построению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Услуги оценщиков и страховщиков (0,8% объёма) учитывались как выручка платформы целиком, хотя в пояснениях к модели они помечены как транзитные с 85% встречных издержек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Учтены нетто: в выручку попадает только собственная маржа платформы (0,12% объёма). Валовые сборы раскрыты отдельной справочной строкой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Ставка налога на прибыль 20%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25% — с 1 января 2025 года (176-ФЗ от 12.07.2024). Прежняя ставка была неактуальной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Убытки первых лет не переносились на будущие периоды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Перенос убытков учтён с ограничением 50% налоговой базы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Фонд оплаты труда не выводился из численности и оклада (в 2029 году строка предполагала штат вдвое больше заявленного, в 2026 — вдвое меньше)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ФОТ = численность × оклад × 12 × 1,30. Прочие расходы — база с индексацией плюс переменная часть от выручки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 начинался с 2025 года; первый выпуск ЦФА планировался на 2026 год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 2027–2036. На дату пересчёта нет ни лицензии оператора информационной системы, ни нормативной базы, ни выпусков — поэтому первый выпуск отнесён на 2028 год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Терминальная стоимость считалась то по Гордону с g=2%, то трёхстадийным методом; в бизнес-плане указывалось g=4%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метод: Гордон на нормализованном потоке (капитальные вложения приравнены к амортизации), g = 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Ряд денежных потоков в отчёте об оценке не выводился из отчёта о прибылях и убытках (игнорировал оборотный капитал и содержал необъяснённые остатки)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Ряд выводится из отчётности и проверяется программно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Скидка за стадию 60% применялась дважды: сначала внутри доходного подхода, затем поверх свёртки методов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Применяется один раз и только к подходам, дающим стоимость зрелого бизнеса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Срок окупаемости 2,73 года при кумулятивном потоке, пересекающем ноль на четвёртый год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Считается программно: простая 2,73 года, дисконтированная 3,05 года</w:t>
            </w:r>
          </w:p>
        </w:tc>
      </w:tr>
    </w:tbl>
    <w:p/>
    <w:p>
      <w:pPr>
        <w:pStyle w:val="Heading2"/>
      </w:pPr>
      <w:r>
        <w:t>Лист 1. Допущения</w:t>
      </w:r>
    </w:p>
    <w:p>
      <w:pPr>
        <w:pStyle w:val="Heading3"/>
      </w:pPr>
      <w:r>
        <w:t>1.1. Макроэкономические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 и дата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Ключевая ставка Банка России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решение Совета директоров от 24.04.2026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Доходность 10-летних ОФЗ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14,73%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рыночные данные на 21.05.2026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риск инвестирования в акционерный капитал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8,13%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Бета (финансовые услуги)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1,15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Damodaran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стадию проекта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2,50%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IPEV 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Премия за неликвидность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3,00%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IPEV Guidelines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Ставка дисконтирования (WACC)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сумма компонент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Целевая инфляция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ориентир Банка России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Курс USD/RUB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71,55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официальный курс на 26.05.2026</w:t>
            </w:r>
          </w:p>
        </w:tc>
      </w:tr>
    </w:tbl>
    <w:p/>
    <w:p>
      <w:pPr>
        <w:ind w:left="360"/>
      </w:pPr>
      <w:r>
        <w:rPr>
          <w:i/>
          <w:color w:val="444444"/>
        </w:rPr>
        <w:t>Макроэкономический блок зафиксирован на май 2026 года. Перед выходом к внешнему инвестору его следует обновить на дату переговоров: ключевая ставка, доходность ОФЗ и курс за это время могли измениться.</w:t>
      </w:r>
    </w:p>
    <w:p>
      <w:pPr>
        <w:pStyle w:val="Heading3"/>
      </w:pPr>
      <w:r>
        <w:t>1.2. Рынок</w:t>
      </w:r>
    </w:p>
    <w:p>
      <w:pPr>
        <w:jc w:val="both"/>
      </w:pPr>
      <w:r>
        <w:t xml:space="preserve">Залоговая ёмкость рынка на 2025 год — </w:t>
      </w:r>
      <w:r>
        <w:rPr>
          <w:b/>
        </w:rPr>
        <w:t>25 000 млрд ₽</w:t>
      </w:r>
      <w:r>
        <w:t>: 10% активов, вовлечённых в оборот, при оценке для целей залога 50% рыночной стоимости, от совокупной массы жилого фонда, коммерческой недвижимости и земельных участков (507 трлн ₽). Индексация — 4% в год.</w:t>
      </w:r>
    </w:p>
    <w:p>
      <w:pPr>
        <w:jc w:val="both"/>
      </w:pPr>
      <w:r>
        <w:t>Обращаемый стек — сумма выпусков за последние 5 лет (средний срок жизни выпуска).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Залоговая ёмкость, млрд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27 040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28 122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29 246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30 416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31 633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32 898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34 214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35 583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37 006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38 486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платформы, 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1,80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4,40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8,80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10,80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12,60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14,40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16,20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18,00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 ЦФА,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112 486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526 436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1 338 318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2 783 702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3 553 016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4 310 993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5 123 923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5 994 989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6 927 543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Обращаемый стек,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112 486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638 923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1 977 241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4 760 943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8 313 959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12 512 465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17 109 951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21 766 622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25 910 463</w:t>
            </w:r>
          </w:p>
        </w:tc>
      </w:tr>
    </w:tbl>
    <w:p/>
    <w:p>
      <w:pPr>
        <w:ind w:left="360"/>
      </w:pPr>
      <w:r>
        <w:rPr>
          <w:i/>
          <w:color w:val="444444"/>
        </w:rPr>
        <w:t>Траектория доли рынка — ключевое допущение автора и главный источник неопределённости модели. Она ничем не подтверждена извне: ни пилотом, ни договорами, ни аналогом. Всё остальное в модели — арифметика от этой строки.</w:t>
      </w:r>
    </w:p>
    <w:p>
      <w:pPr>
        <w:pStyle w:val="Heading3"/>
      </w:pPr>
      <w:r>
        <w:t>1.3. Тарифы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Линия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Ставка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База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Комиссия за выпуск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 за год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Сервисная комиссия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0,30%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обращаемый стек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Платформенный сбор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0,15%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Лицензии B2B2G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 0 до 0,15%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Технологические интеграции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 50 до 1 150 млн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фиксированные платежи за 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 — валовый тариф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0,80%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 — встречные издержки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 валового тарифа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Оценка и страхование — собственная маржа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0,12%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объём выпуска; только эта часть попадает в выручку</w:t>
            </w:r>
          </w:p>
        </w:tc>
      </w:tr>
    </w:tbl>
    <w:p/>
    <w:p>
      <w:pPr>
        <w:pStyle w:val="Heading3"/>
      </w:pPr>
      <w:r>
        <w:t>1.4. Затраты</w:t>
      </w:r>
    </w:p>
    <w:p>
      <w:pPr>
        <w:jc w:val="both"/>
      </w:pPr>
      <w:r>
        <w:t>Фонд оплаты труда рассчитывается как численность × средний оклад × 12 × 1,30 (страховые взносы 30%). Оклад первого года — 350 тыс. ₽ в месяц, индексация 6% в год.</w:t>
      </w:r>
    </w:p>
    <w:p>
      <w:pPr>
        <w:jc w:val="both"/>
      </w:pPr>
      <w:r>
        <w:t>Прочие операционные расходы = базовая часть 502 млн ₽ с индексацией 4% в год плюс переменная часть 22% от выручки. Переменная часть покрывает эквайринг, инфраструктуру под нагрузкой, комплаенс, кибербезопасность, юридическое сопровождение и привлечение клиентов; её величина откалибрована так, чтобы маржа зрелого года находилась на уровне сопоставимых инфраструктурных операторов.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Численность, чел.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370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Средний оклад, тыс. ₽/мес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350,0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371,0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393,3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416,9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441,9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468,4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496,5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526,3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557,8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591,3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ФОТ со взносами,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218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982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1 301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1 654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1 973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2 324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2 709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3 046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3 413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Прочий OpEx,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502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810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1 977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4 479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9 172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13 120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17 506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22 297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27 279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32 090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Капитальные вложения,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1 600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2 000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Амортизация, млн ₽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496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1 067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1 281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1 550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1 779</w:t>
            </w:r>
          </w:p>
        </w:tc>
      </w:tr>
    </w:tbl>
    <w:p/>
    <w:p>
      <w:pPr>
        <w:jc w:val="both"/>
      </w:pPr>
      <w:r>
        <w:t xml:space="preserve">Капитальные вложения за горизонт — </w:t>
      </w:r>
      <w:r>
        <w:rPr>
          <w:b/>
        </w:rPr>
        <w:t>13 570 млн ₽</w:t>
      </w:r>
      <w:r>
        <w:t>. Срок амортизации 7 лет.</w:t>
      </w:r>
    </w:p>
    <w:p>
      <w:pPr>
        <w:pStyle w:val="Heading3"/>
      </w:pPr>
      <w:r>
        <w:t>1.5. Налоги и оборотный капитал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Основание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 на прибыль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176-ФЗ от 12.07.2024, действует с 01.01.2025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Предел переноса убытков прошлых лет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ст. 283 НК РФ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Страховые взносы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гл. 34 НК РФ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Оборотный капитал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 выручки</w:t>
            </w:r>
          </w:p>
        </w:tc>
      </w:tr>
    </w:tbl>
    <w:p/>
    <w:p>
      <w:pPr>
        <w:ind w:left="360"/>
      </w:pPr>
      <w:r>
        <w:rPr>
          <w:i/>
          <w:color w:val="444444"/>
        </w:rPr>
        <w:t>Льгота по налогу на прибыль для аккредитованных ИТ-организаций в базовый сценарий не заложена — это отдельный потенциал, а не допущение. Освобождение операций с ЦФА от НДС требует подтверждения налоговым консультантом на дату сделки.</w:t>
      </w:r>
    </w:p>
    <w:p>
      <w:pPr>
        <w:pStyle w:val="Heading2"/>
      </w:pPr>
      <w:r>
        <w:t>Лист 2. Выручка</w:t>
      </w:r>
    </w:p>
    <w:p>
      <w:pPr>
        <w:jc w:val="both"/>
      </w:pPr>
      <w:r>
        <w:t>Все суммы в млн ₽. Итог равен сумме строк.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Строка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Комиссия за выпуск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2 632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6 692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13 919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17 765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21 555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25 620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29 975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34 638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Сервисная комиссия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337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1 917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5 932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14 283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24 942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37 537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51 330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65 300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77 731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Платформенный сбор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790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2 007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4 176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5 330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6 466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7 686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8 992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10 391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Лицензии B2B2G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369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1 204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2 784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3 908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5 173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6 661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8 393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10 391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Технологические интеграции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1 020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1 150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 (нетто)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135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1 606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3 340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4 264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5 173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6 149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7 194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8 313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 выручка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1 310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6 519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17 791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39 021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76 685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98 345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120 874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142 615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Справочно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Справочно: валовые сборы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2 075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10 099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26 892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57 950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81 019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106 000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133 188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161 640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189 722</w:t>
            </w:r>
          </w:p>
        </w:tc>
      </w:tr>
    </w:tbl>
    <w:p/>
    <w:p>
      <w:pPr>
        <w:jc w:val="both"/>
      </w:pPr>
      <w:r>
        <w:t>Валовые сборы — вся сумма, проходящая через платформу, включая встречные платежи оценщикам и страховщикам. Разница между валовыми сборами и выручкой — деньги третьих лиц; показывать их как выручку платформы некорректно.</w:t>
      </w:r>
    </w:p>
    <w:p>
      <w:pPr>
        <w:pStyle w:val="Heading2"/>
      </w:pPr>
      <w:r>
        <w:t>Лист 3. Прибыли и убытки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1 310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6 519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17 791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39 021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76 685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98 345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120 874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142 615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ФОТ со взносами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−218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−982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−1 301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−1 654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−1 973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−2 324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−2 709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−3 046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−3 413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Прочий OpEx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−502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−810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−1 977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−4 479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−9 172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−13 120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−17 506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−22 297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−27 279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−32 090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Операционные расходы, всего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−1 505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−2 959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−5 779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−10 826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−15 092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−19 829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−25 006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−30 325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−35 503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EBITDA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3 560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12 012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41 766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73 339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90 549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107 112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EBITDA-маржа, %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−14,9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54,6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67,5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72,3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73,5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74,1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74,6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74,9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75,1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Амортизация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−103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−496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−839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−1 067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−1 281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−1 550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−1 779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EBIT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−763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−298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11 773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27 699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40 927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55 789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72 058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88 999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105 333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 на прибыль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−585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−2 943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−6 925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−10 232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−13 947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−18 014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−22 250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−26 333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Чистая прибыль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−763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−298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2 815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8 830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20 774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30 696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41 841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54 043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66 749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79 000</w:t>
            </w:r>
          </w:p>
        </w:tc>
      </w:tr>
    </w:tbl>
    <w:p/>
    <w:p>
      <w:pPr>
        <w:jc w:val="both"/>
      </w:pPr>
      <w:r>
        <w:t>Маржа зрелого года — 75,1%. Ориентиры сопоставимых компаний: инфраструктурные биржевые и депозитарные операторы 65–75%, международные платёжные системы 60–70%.</w:t>
      </w:r>
    </w:p>
    <w:p>
      <w:pPr>
        <w:pStyle w:val="Heading2"/>
      </w:pPr>
      <w:r>
        <w:t>Лист 4. Денежный поток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3 560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12 012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28 195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41 766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56 856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73 339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90 549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107 112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 на прибыль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−585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−2 943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−6 925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−10 232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−13 947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−18 014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−22 250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−26 333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Прирост оборотного капитала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−564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−1 061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−892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−991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−1 083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−1 126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−1 087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Капитальные вложения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−550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−2 400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−1 600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−1 800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−2 000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Свободный денежный поток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−680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2 315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7 955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18 409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28 242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40 317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52 442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64 873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77 692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Кумулятивный поток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−1 020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−1 701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614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8 569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26 978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55 220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95 537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147 979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212 852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290 543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Коэффициент дисконтирования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0,7717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0,5956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0,4596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0,3547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0,2737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0,2112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0,1630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0,1258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0,0971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0,0749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Дисконтированный поток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−787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−405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1 064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2 822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5 039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5 966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6 573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6 598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6 298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5 821</w:t>
            </w:r>
          </w:p>
        </w:tc>
      </w:tr>
    </w:tbl>
    <w:p/>
    <w:p>
      <w:pPr>
        <w:jc w:val="both"/>
      </w:pPr>
      <w:r>
        <w:rPr>
          <w:b/>
        </w:rPr>
        <w:t>Пиковая потребность в финансировании — 1 701 млн ₽</w:t>
      </w:r>
      <w:r>
        <w:t xml:space="preserve"> (максимальный отрицательный кумулятивный поток). Заявленный стартовый раунд 1 073 млн ₽ покрывает её на 63%.</w:t>
      </w:r>
    </w:p>
    <w:p>
      <w:pPr>
        <w:pStyle w:val="Heading2"/>
      </w:pPr>
      <w:r>
        <w:t>Лист 5. Стоимость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Сумма дисконтированных потоков за 10 лет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38 988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Нормализованный поток для терминального периода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78 715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Терминальная стоимость на конец горизонта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320 035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Дисконтированная терминальная стоимость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23 979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терминальной стоимости в оценке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Стоимость бизнеса (EV)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62 967 млн ₽ ≈ 63,0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 в долларах при курсе 71,55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≈ $880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Внутренняя норма доходности проекта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182,1%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простая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2,73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дисконтированная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3,05 года</w:t>
            </w:r>
          </w:p>
        </w:tc>
      </w:tr>
    </w:tbl>
    <w:p/>
    <w:p>
      <w:pPr>
        <w:ind w:left="360"/>
      </w:pPr>
      <w:r>
        <w:rPr>
          <w:b/>
          <w:i/>
          <w:color w:val="444444"/>
        </w:rPr>
        <w:t>Оговорка к внутренней норме доходности.</w:t>
      </w:r>
      <w:r>
        <w:rPr>
          <w:i/>
          <w:color w:val="444444"/>
        </w:rPr>
        <w:t xml:space="preserve"> Значение 182% получено на потоках проекта, где входные вложения малы (пик 1 701 млн ₽), а зрелые потоки — десятки миллиардов. Такая доходность не является преимуществом проекта: она показывает, что модель не отражает полной стоимости входа на этот рынок — капитала оператора информационной системы, резервов, стоимости привлечения залогодателей. Показатель приведён для полноты; опираться в переговорах следует на стоимость бизнеса и на инвесторский расчёт (лист 8).</w:t>
      </w:r>
    </w:p>
    <w:p>
      <w:pPr>
        <w:pStyle w:val="Heading2"/>
      </w:pPr>
      <w:r>
        <w:t>Лист 6.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Доля рынка год 10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Вес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Выручка год 10, млн ₽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бизнеса, млрд ₽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Окупаемость, лет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Консервативный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56 164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20,1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3,94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Базовый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142 615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63,0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2,73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Оптимистичный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197 629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90,2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2,38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Ожидаемое значение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64,7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jc w:val="both"/>
      </w:pPr>
      <w:r>
        <w:t>Сценарии различаются только целевой долей рынка на десятый год; траектория масштабируется пропорционально. Веса заданы автором проекта.</w:t>
      </w:r>
    </w:p>
    <w:p>
      <w:pPr>
        <w:pStyle w:val="Heading2"/>
      </w:pPr>
      <w:r>
        <w:t>Лист 7. Чувствительность</w:t>
      </w:r>
    </w:p>
    <w:p>
      <w:pPr>
        <w:pStyle w:val="Heading3"/>
      </w:pPr>
      <w:r>
        <w:t>7.1. Ставка дисконтирования и доля рынка</w:t>
      </w:r>
    </w:p>
    <w:p>
      <w:pPr>
        <w:jc w:val="both"/>
      </w:pPr>
      <w:r>
        <w:t>Стоимость бизнеса, млн 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WACC \ доля рынка год 10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9,0%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13,5%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18,0%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22,5%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27,0%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26,50%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36 389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58 836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81 267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103 692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126 114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28,00%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31 874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51 735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71 580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91 418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111 254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29,58%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27 869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45 426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62 967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80 501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98 033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31,00%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24 800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40 585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56 352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72 114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87 872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33,00%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21 167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34 843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48 501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62 154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75 803</w:t>
            </w:r>
          </w:p>
        </w:tc>
      </w:tr>
    </w:tbl>
    <w:p/>
    <w:p>
      <w:pPr>
        <w:pStyle w:val="Heading3"/>
      </w:pPr>
      <w:r>
        <w:t>7.2. Операционные расходы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Отклонение расходов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-10%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20%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бизнеса, млн ₽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65 513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62 967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60 420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57 871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55 315</w:t>
            </w:r>
          </w:p>
        </w:tc>
      </w:tr>
    </w:tbl>
    <w:p/>
    <w:p>
      <w:pPr>
        <w:jc w:val="both"/>
      </w:pPr>
      <w:r>
        <w:t>Чувствительность к расходам низкая: даже рост на 30% меняет оценку на 12%. Это означает, что вся стоимость определяется допущениями о выручке — то есть траекторией доли рынка.</w:t>
      </w:r>
    </w:p>
    <w:p>
      <w:pPr>
        <w:pStyle w:val="Heading3"/>
      </w:pPr>
      <w:r>
        <w:t>7.3. Задержка запуска — главный риск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Задержка первого выпуска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Первый год с выпуском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Выручка год 10, млн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бизнеса, млрд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Пиковая потребность, млн ₽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142 615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63,0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1 701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+1 год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126 422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46,4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3 438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+2 год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107 655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32,5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5 532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+3 год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87 988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21,1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9 126</w:t>
            </w:r>
          </w:p>
        </w:tc>
      </w:tr>
    </w:tbl>
    <w:p/>
    <w:p>
      <w:pPr>
        <w:jc w:val="both"/>
      </w:pPr>
      <w:r>
        <w:t>Каждый год задержки убирает примерно четверть стоимости и увеличивает потребность в деньгах. Заявленный раунд рассчитан на запуск без задержки; при сдвиге на год потребность вырастает до 3 438 млн ₽, при сдвиге на два года — до 5 532 млн ₽.</w:t>
      </w:r>
    </w:p>
    <w:p>
      <w:pPr>
        <w:pStyle w:val="Heading3"/>
      </w:pPr>
      <w:r>
        <w:t>7.4. Имитационное моделирование</w:t>
      </w:r>
    </w:p>
    <w:p>
      <w:pPr>
        <w:jc w:val="both"/>
      </w:pPr>
      <w:r>
        <w:t>2000 итераций, генератор с фиксированным зерном 20260907 — расчёт воспроизводим. Варьируются: доля рынка года 10 (треугольное распределение 7-25%, мода 18%), ставка дисконтирования (равномерно 27-33%), отклонение расходов (равномерно от минус 10% до плюс 30%), задержка запуска (0/1/2/3 года с вероятностями 40/30/20/10%).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Перцентиль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P10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P25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Медиана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P75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P90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бизнеса, млрд ₽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14,7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18,5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26,8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39,2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52,9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65,8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  <w:r>
              <w:rPr>
                <w:sz w:val="17"/>
              </w:rPr>
              <w:t>73,5</w:t>
            </w:r>
          </w:p>
        </w:tc>
      </w:tr>
    </w:tbl>
    <w:p/>
    <w:p>
      <w:pPr>
        <w:jc w:val="both"/>
      </w:pPr>
      <w:r>
        <w:t>Вероятность стоимости выше 50 млрд ₽ — 29,6%. Вероятность отрицательной стоимости — 0,0%.</w:t>
      </w:r>
    </w:p>
    <w:p>
      <w:pPr>
        <w:ind w:left="360"/>
      </w:pPr>
      <w:r>
        <w:rPr>
          <w:i/>
          <w:color w:val="444444"/>
        </w:rPr>
        <w:t>Медиана имитации (39,2 млрд ₽) заметно ниже базового сценария (63,0 млрд ₽). Это не ошибка: базовый сценарий предполагает запуск без задержки, а имитация учитывает, что задержка вероятна. Разрыв между базовым сценарием и медианой имитации — цена риска сроков.</w:t>
      </w:r>
    </w:p>
    <w:p>
      <w:pPr>
        <w:pStyle w:val="Heading2"/>
      </w:pPr>
      <w:r>
        <w:t>Лист 8. Расчёт для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Инвестиция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1 073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в капитале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5,70%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 владения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 лет, выход в 2033 году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 на выходе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261 907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Накопленные денежные средства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96 610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капитала на выходе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358 517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Поступления инвестора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20 451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Кратность возврата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19,1×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Внутренняя норма доходности инвестора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52,4%</w:t>
            </w:r>
          </w:p>
        </w:tc>
      </w:tr>
    </w:tbl>
    <w:p/>
    <w:p>
      <w:pPr>
        <w:jc w:val="both"/>
      </w:pPr>
      <w:r>
        <w:t>Расчёт предполагает, что план выполнен полностью, дивиденды не выплачивались и накопленные средства остаются в компании. Это верхняя граница, а не ожидание: цена риска невыполнения плана заложена в скидку за стадию при определении стоимости входа (лист 9).</w:t>
      </w:r>
    </w:p>
    <w:p>
      <w:pPr>
        <w:pStyle w:val="Heading2"/>
      </w:pPr>
      <w:r>
        <w:t>Лист 9. Стоимость входа (pre-money)</w:t>
      </w:r>
    </w:p>
    <w:p>
      <w:pPr>
        <w:jc w:val="both"/>
      </w:pPr>
      <w:r>
        <w:t xml:space="preserve">Свёртка четырёх подходов. Скидка за стадию 60% применяется </w:t>
      </w:r>
      <w:r>
        <w:rPr>
          <w:b/>
        </w:rPr>
        <w:t>один раз</w:t>
      </w:r>
      <w:r>
        <w:t xml:space="preserve"> и только к подходам, которые дают стоимость зрелого бизнеса. Подходы Беркуса и восстановительной стоимости оценивают проект как есть и повторному дисконтированию не подлежат.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 скидки, $ млн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Скидка за стадию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После скидки, $ млн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Вес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Вклад, $ млн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Доходный (DCF)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применена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123,2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Сравнительный (мультипликаторы)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применяется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114,0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Скорректированный Беркус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применяется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8,8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Затратный (восстановительная стоимость)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применяется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2,0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Стоимость входа (pre-money)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248</w:t>
            </w:r>
          </w:p>
        </w:tc>
      </w:tr>
    </w:tbl>
    <w:p/>
    <w:p>
      <w:pPr>
        <w:jc w:val="both"/>
      </w:pPr>
      <w:r>
        <w:rPr>
          <w:b/>
        </w:rPr>
        <w:t>Pre-money ≈ $248 млн ≈ 17,74 млрд ₽</w:t>
      </w:r>
      <w:r>
        <w:t xml:space="preserve"> при курсе 71,55 ₽/$.</w:t>
      </w:r>
    </w:p>
    <w:p>
      <w:pPr>
        <w:ind w:left="360"/>
      </w:pPr>
      <w:r>
        <w:rPr>
          <w:b/>
          <w:i/>
          <w:color w:val="444444"/>
        </w:rPr>
        <w:t>Разброс между подходами двенадцатикратный</w:t>
      </w:r>
      <w:r>
        <w:rPr>
          <w:i/>
          <w:color w:val="444444"/>
        </w:rPr>
        <w:t xml:space="preserve"> — от $20 млн по затратному до $352 млн по доходному. Такой разброс сам по себе означает, что взвешенная величина малоинформативна: 65% веса приходится на подходы, оценивающие уже работающий бизнес, тогда как подходы, предназначенные для ранней стадии, дают на порядок меньше. Практический вывод: переговорный диапазон следует строить от подходов ранней стадии, а доходный подход использовать как аргумент о потенциале, а не как цену. Итоговое решение о цене входа — за собственником проекта.</w:t>
      </w:r>
    </w:p>
    <w:p>
      <w:pPr>
        <w:pStyle w:val="Heading3"/>
      </w:pPr>
      <w:r>
        <w:t>Структура раунда при этой оценке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Pre-money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$248 млн · 17,74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Раунд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$15 млн · 1 073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Post-money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$263 млн · 18,81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инвестора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5,70%</w:t>
            </w:r>
          </w:p>
        </w:tc>
      </w:tr>
    </w:tbl>
    <w:p/>
    <w:p>
      <w:pPr>
        <w:ind w:left="360"/>
      </w:pPr>
      <w:r>
        <w:rPr>
          <w:b/>
          <w:i/>
          <w:color w:val="444444"/>
        </w:rPr>
        <w:t>Размер раунда недостаточен.</w:t>
      </w:r>
      <w:r>
        <w:rPr>
          <w:i/>
          <w:color w:val="444444"/>
        </w:rPr>
        <w:t xml:space="preserve"> Пиковая потребность в финансировании — 1 701 млн ₽, заявленный раунд — 1 073 млн ₽. Разрыв 628 млн ₽ нужно закрывать либо увеличением раунда примерно до 1,8 млрд ₽ (≈$25 млн), либо промежуточным траншем. При задержке запуска на год потребность вырастает до 3 438 млн ₽ — тогда заявленного раунда не хватит и вдвое.</w:t>
      </w:r>
    </w:p>
    <w:p>
      <w:pPr>
        <w:ind w:left="360"/>
      </w:pPr>
      <w:r>
        <w:rPr>
          <w:i/>
          <w:color w:val="444444"/>
        </w:rPr>
        <w:t>В прежней редакции скидка за стадию применялась дважды — сначала внутри доходного подхода, затем поверх свёртки. Из-за этого стоимость входа была занижена примерно вдвое. Исправление увеличивает переговорную позицию проекта, а не уменьшает её.</w:t>
      </w:r>
    </w:p>
    <w:p>
      <w:pPr>
        <w:pStyle w:val="Heading2"/>
      </w:pPr>
      <w:r>
        <w:t>Ограничения модели</w:t>
      </w:r>
    </w:p>
    <w:p>
      <w:pPr>
        <w:pStyle w:val="ListNumber"/>
      </w:pPr>
      <w:r>
        <w:rPr>
          <w:b/>
        </w:rPr>
        <w:t>Траектория доли рынка ничем не подтверждена.</w:t>
      </w:r>
      <w:r>
        <w:t xml:space="preserve"> Ни пилота, ни договоров, ни сопоставимого проекта. Это допущение автора, и на нём держится вся оценка.</w:t>
      </w:r>
    </w:p>
    <w:p>
      <w:pPr>
        <w:pStyle w:val="ListNumber"/>
      </w:pPr>
      <w:r>
        <w:rPr>
          <w:b/>
        </w:rPr>
        <w:t>Нормативная база не принята.</w:t>
      </w:r>
      <w:r>
        <w:t xml:space="preserve"> Модель исходит из того, что регулирование позволит работать в заявленном объёме. Если этого не произойдёт, применим только консервативный сценарий.</w:t>
      </w:r>
    </w:p>
    <w:p>
      <w:pPr>
        <w:pStyle w:val="ListNumber"/>
      </w:pPr>
      <w:r>
        <w:rPr>
          <w:b/>
        </w:rPr>
        <w:t>Требования к капиталу оператора информационной системы не смоделированы</w:t>
      </w:r>
      <w:r>
        <w:t xml:space="preserve"> — собственные средства, резервы, обеспечительные депозиты.</w:t>
      </w:r>
    </w:p>
    <w:p>
      <w:pPr>
        <w:pStyle w:val="ListNumber"/>
      </w:pPr>
      <w:r>
        <w:rPr>
          <w:b/>
        </w:rPr>
        <w:t>Стоимость привлечения клиента не выделена отдельной строкой</w:t>
      </w:r>
      <w:r>
        <w:t xml:space="preserve"> — она входит в переменную часть расходов общей суммой.</w:t>
      </w:r>
    </w:p>
    <w:p>
      <w:pPr>
        <w:pStyle w:val="ListNumber"/>
      </w:pPr>
      <w:r>
        <w:rPr>
          <w:b/>
        </w:rPr>
        <w:t>Модель без долга.</w:t>
      </w:r>
      <w:r>
        <w:t xml:space="preserve"> Только акционерный капитал; налоговый щит по процентам не учитывается.</w:t>
      </w:r>
    </w:p>
    <w:p>
      <w:pPr>
        <w:pStyle w:val="ListNumber"/>
      </w:pPr>
      <w:r>
        <w:rPr>
          <w:b/>
        </w:rPr>
        <w:t>Все потоки в рублях</w:t>
      </w:r>
      <w:r>
        <w:t>, валютная позиция отсутствует.</w:t>
      </w:r>
    </w:p>
    <w:p>
      <w:pPr>
        <w:pStyle w:val="ListNumber"/>
      </w:pPr>
      <w:r>
        <w:rPr>
          <w:b/>
        </w:rPr>
        <w:t>Макроэкономические параметры зафиксированы на май 2026 года</w:t>
      </w:r>
      <w:r>
        <w:t xml:space="preserve"> и требуют обновления на дату переговоров.</w:t>
      </w:r>
    </w:p>
    <w:p>
      <w:pPr>
        <w:pStyle w:val="ListNumber"/>
      </w:pPr>
      <w:r>
        <w:rPr>
          <w:b/>
        </w:rPr>
        <w:t>Модель не является офертой</w:t>
      </w:r>
      <w:r>
        <w:t xml:space="preserve"> и не гарантирует результата.</w:t>
      </w:r>
    </w:p>
    <w:p>
      <w:pPr>
        <w:jc w:val="both"/>
      </w:pPr>
      <w:r>
        <w:rPr>
          <w:b/>
        </w:rPr>
        <w:t>Редакция v5 · 07.09.2026 · расчёт выполнен программно, самопроверка сходимости пройдена.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