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Бизнес-план Цифровой Платформы «Российский Сервис Финансирования Социального Развития» (ЦП РСФСР)</w:t>
      </w:r>
    </w:p>
    <w:p>
      <w:pPr>
        <w:jc w:val="both"/>
      </w:pPr>
      <w:r>
        <w:rPr>
          <w:b/>
        </w:rPr>
        <w:t>Оператор:</w:t>
      </w:r>
      <w:r>
        <w:t xml:space="preserve"> Цифровая Платформа РСФСР — front-end / агентская платформа выпуска ЦФА под залог имущества. Stage 1 (pilot-light 2026–2028): размещения через технологическое партнёрство с действующим оператором 779-П, фондирование Фабрики проектного финансирования ВЭБ.РФ (ПП РФ № 158) и Федерального казначейства. Stage 2 (горизонт 2029+): расширение мандата к модели целевой обеспеченной эмиссии Банка России — после положительного track-record Stage 1 ≥ 12 мес. и принятия пакета 4 ФЗ-поправок. </w:t>
      </w:r>
      <w:r>
        <w:rPr>
          <w:b/>
        </w:rPr>
        <w:t>Автор концепта и правообладатель ноу-хау:</w:t>
      </w:r>
      <w:r>
        <w:t xml:space="preserve"> Кагиров Абдул-Хаким Ахмадович. </w:t>
      </w:r>
      <w:r>
        <w:rPr>
          <w:b/>
        </w:rPr>
        <w:t>Свидетельство о депонировании:</w:t>
      </w:r>
      <w:r>
        <w:t xml:space="preserve"> №4011265 от 19.12.2024 (ireg.pro, ГОСТ-Р 34.11-2012). </w:t>
      </w:r>
      <w:r>
        <w:rPr>
          <w:b/>
        </w:rPr>
        <w:t>Дата документа:</w:t>
      </w:r>
      <w:r>
        <w:t xml:space="preserve"> 07.09.2026 (редакция 2: финансовая часть пересчитана заново; единый свод показателей — </w:t>
      </w:r>
      <w:r>
        <w:rPr>
          <w:rFonts w:ascii="Consolas" w:hAnsi="Consolas"/>
          <w:sz w:val="18"/>
        </w:rPr>
        <w:t>_Мастер/Единые_показатели_v2.md</w:t>
      </w:r>
      <w:r>
        <w:t xml:space="preserve"> v5).</w:t>
      </w:r>
    </w:p>
    <w:p>
      <w:pPr>
        <w:pStyle w:val="Heading2"/>
      </w:pPr>
      <w:r>
        <w:t>1. Резюме проекта</w:t>
      </w:r>
    </w:p>
    <w:p>
      <w:pPr>
        <w:jc w:val="both"/>
      </w:pPr>
      <w:r>
        <w:rPr>
          <w:b/>
        </w:rPr>
        <w:t>Что.</w:t>
      </w:r>
      <w:r>
        <w:t xml:space="preserve"> ЦП РСФСР — front-end / агентская платформа полного цикла выпуска и обслуживания цифровых финансовых активов (ЦФА), номинированных под залог недвижимого и иного имущества. </w:t>
      </w:r>
      <w:r>
        <w:rPr>
          <w:b/>
        </w:rPr>
        <w:t>Stage 1 (2026–2028):</w:t>
      </w:r>
      <w:r>
        <w:t xml:space="preserve"> размещения через технологическое партнёрство с действующим оператором информационной системы выпуска ЦФА по 779-П (действующий субъект реестра — лицензия не передаётся); расчётный канал и фондирование — Фабрика проектного финансирования ВЭБ.РФ (ПП РФ от 15.02.2018 № 158) и Федеральное казначейство в рамках Бюджетного кодекса. Банк России — общий надзорный регулятор по ст. 4 ФЗ № 86-ФЗ; дополнительная эмиссия в Stage 1 не предусмотрена. </w:t>
      </w:r>
      <w:r>
        <w:rPr>
          <w:b/>
        </w:rPr>
        <w:t>Stage 2 (горизонт 2029+):</w:t>
      </w:r>
      <w:r>
        <w:t xml:space="preserve"> defensible путь к модели целевой обеспеченной эмиссии Банка России — реализуется после положительного track-record Stage 1 ≥ 12 мес. и принятия пакета 4 ФЗ-поправок.</w:t>
      </w:r>
    </w:p>
    <w:p>
      <w:pPr>
        <w:jc w:val="both"/>
      </w:pPr>
      <w:r>
        <w:rPr>
          <w:b/>
        </w:rPr>
        <w:t>Зачем.</w:t>
      </w:r>
      <w:r>
        <w:t xml:space="preserve"> Высвобождение «спящей» залоговой массы РФ (консервативно — 25 трлн ₽) под целевое финансирование национальных и инфраструктурных проектов — без увеличения нагрузки на бюджет и при сохранении прав собственников. В Stage 1 эффект достигается за счёт инфраструктурного фондирования; в Stage 2 — расширяется через целевую обеспеченную эмиссию.</w:t>
      </w:r>
    </w:p>
    <w:p>
      <w:pPr>
        <w:jc w:val="both"/>
      </w:pPr>
      <w:r>
        <w:rPr>
          <w:b/>
        </w:rPr>
        <w:t>Кому.</w:t>
      </w:r>
    </w:p>
    <w:p>
      <w:pPr>
        <w:pStyle w:val="ListBullet"/>
      </w:pPr>
      <w:r>
        <w:t>Государство — внебюджетный источник целевых средств на нацпроекты.</w:t>
      </w:r>
    </w:p>
    <w:p>
      <w:pPr>
        <w:pStyle w:val="ListBullet"/>
      </w:pPr>
      <w:r>
        <w:t>Собственники имущества (физические и юридические лица) — дополнительный доход при сохранении объекта в собственности.</w:t>
      </w:r>
    </w:p>
    <w:p>
      <w:pPr>
        <w:pStyle w:val="ListBullet"/>
      </w:pPr>
      <w:r>
        <w:t>Инвесторы — новый класс надёжных, обеспеченных, регулируемых инструментов.</w:t>
      </w:r>
    </w:p>
    <w:p>
      <w:pPr>
        <w:pStyle w:val="ListBullet"/>
      </w:pPr>
      <w:r>
        <w:t>Финансовый сектор (банки, страховые, оценщики) — новые сервисные доходы.</w:t>
      </w:r>
    </w:p>
    <w:p>
      <w:pPr>
        <w:jc w:val="both"/>
      </w:pPr>
      <w:r>
        <w:rPr>
          <w:b/>
        </w:rPr>
        <w:t>Сколько.</w:t>
      </w:r>
    </w:p>
    <w:p>
      <w:pPr>
        <w:pStyle w:val="ListBullet"/>
      </w:pPr>
      <w:r>
        <w:t>Капитальные вложения за первые 18 месяцев — 720 млн ₽.</w:t>
      </w:r>
    </w:p>
    <w:p>
      <w:pPr>
        <w:pStyle w:val="ListBullet"/>
      </w:pPr>
      <w:r>
        <w:t>Капитальные вложения за 10 лет — 13 570 млн ₽.</w:t>
      </w:r>
    </w:p>
    <w:p>
      <w:pPr>
        <w:pStyle w:val="ListBullet"/>
      </w:pPr>
      <w:r>
        <w:t>Пиковая потребность в финансировании — 1 701 млн ₽ (конец 2028 года).</w:t>
      </w:r>
    </w:p>
    <w:p>
      <w:pPr>
        <w:jc w:val="both"/>
      </w:pPr>
      <w:r>
        <w:rPr>
          <w:b/>
        </w:rPr>
        <w:t>Когда.</w:t>
      </w:r>
    </w:p>
    <w:p>
      <w:pPr>
        <w:pStyle w:val="ListBullet"/>
      </w:pPr>
      <w:r>
        <w:t>Старт — 2027 год (подготовка, лицензии, разработка).</w:t>
      </w:r>
    </w:p>
    <w:p>
      <w:pPr>
        <w:pStyle w:val="ListBullet"/>
      </w:pPr>
      <w:r>
        <w:t>Первые выпуски — 2028 год (через 18 мес. от старта).</w:t>
      </w:r>
    </w:p>
    <w:p>
      <w:pPr>
        <w:pStyle w:val="ListBullet"/>
      </w:pPr>
      <w:r>
        <w:t>Пилот — 2028–2029 годы.</w:t>
      </w:r>
    </w:p>
    <w:p>
      <w:pPr>
        <w:pStyle w:val="ListBullet"/>
      </w:pPr>
      <w:r>
        <w:t>Масштабирование — 2030–2032 годы.</w:t>
      </w:r>
    </w:p>
    <w:p>
      <w:pPr>
        <w:pStyle w:val="ListBullet"/>
      </w:pPr>
      <w:r>
        <w:t>Зрелая стадия — с 2033 года.</w:t>
      </w:r>
    </w:p>
    <w:p>
      <w:pPr>
        <w:jc w:val="both"/>
      </w:pPr>
      <w:r>
        <w:t>Горизонт сдвинут относительно прежней редакции: на дату документа нет ни лицензии оператора информационной системы, ни принятой нормативной базы, ни выпусков, поэтому отсчёт ведётся от 2027 года.</w:t>
      </w:r>
    </w:p>
    <w:p>
      <w:pPr>
        <w:jc w:val="both"/>
      </w:pPr>
      <w:r>
        <w:rPr>
          <w:b/>
        </w:rPr>
        <w:t>На чём заработаем.</w:t>
      </w:r>
    </w:p>
    <w:p>
      <w:pPr>
        <w:pStyle w:val="ListBullet"/>
      </w:pPr>
      <w:r>
        <w:t>Комиссия за выпуск ЦФА — 0,5% от номинала.</w:t>
      </w:r>
    </w:p>
    <w:p>
      <w:pPr>
        <w:pStyle w:val="ListBullet"/>
      </w:pPr>
      <w:r>
        <w:t>Сервисная комиссия — 0,3% от обращаемого стека.</w:t>
      </w:r>
    </w:p>
    <w:p>
      <w:pPr>
        <w:pStyle w:val="ListBullet"/>
      </w:pPr>
      <w:r>
        <w:t>Платформенный сбор (оценка/страхование) — 0,15% от номинала.</w:t>
      </w:r>
    </w:p>
    <w:p>
      <w:pPr>
        <w:pStyle w:val="ListBullet"/>
      </w:pPr>
      <w:r>
        <w:t>Лицензии партнёрам B2B2G — до 0,15% от объёма выпуска.</w:t>
      </w:r>
    </w:p>
    <w:p>
      <w:pPr>
        <w:pStyle w:val="ListBullet"/>
      </w:pPr>
      <w:r>
        <w:t>Технологические интеграции — фикс.</w:t>
      </w:r>
    </w:p>
    <w:p>
      <w:pPr>
        <w:jc w:val="both"/>
      </w:pPr>
      <w:r>
        <w:rPr>
          <w:b/>
        </w:rPr>
        <w:t>Что просим.</w:t>
      </w:r>
      <w:r>
        <w:t xml:space="preserve"> Стартовое финансирование 1,8 млрд ₽ на 24 месяца — капитальные вложения, операционный дефицит первых двух лет, оборотный капитал и резерв. Пиковая потребность по расчёту — 1 701 млн ₽; прежний запрос 1,3 млрд ₽ её не покрывал.</w:t>
      </w:r>
    </w:p>
    <w:p>
      <w:pPr>
        <w:jc w:val="both"/>
      </w:pPr>
      <w:r>
        <w:rPr>
          <w:b/>
        </w:rPr>
        <w:t>Ключевые финансовые показатели (базовый сценарий, ставка дисконтирования 29,58%):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 (DCF с терминальной стоимостью, g=4%)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63,0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простая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2,73 года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дисконтированная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3,05 года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Стартовый раунд (запрос)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1,8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Пиковая потребность в финансировании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1,70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 год 5 (2031)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39,0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 год 10 (2036)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142,6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EBITDA год 10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107,1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Маржа EBITDA год 10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75,1%</w:t>
            </w:r>
          </w:p>
        </w:tc>
      </w:tr>
    </w:tbl>
    <w:p/>
    <w:p>
      <w:pPr>
        <w:jc w:val="both"/>
      </w:pPr>
      <w:r>
        <w:t>Консервативный сценарий (работа только в действующем 259-ФЗ, доля рынка 7%): стоимость бизнеса 20,1 млрд ₽. Показатель внутренней нормы доходности проекта в этой редакции намеренно вынесен в § 9.2 с оговоркой: на потоках проекта он превышает 100%, что отражает не преимущество проекта, а неполноту модели по стоимости входа на рынок.</w:t>
      </w:r>
    </w:p>
    <w:p>
      <w:pPr>
        <w:pStyle w:val="Heading2"/>
      </w:pPr>
      <w:r>
        <w:t>2. Описание компании-оператора</w:t>
      </w:r>
    </w:p>
    <w:p>
      <w:pPr>
        <w:pStyle w:val="Heading3"/>
      </w:pPr>
      <w:r>
        <w:t>2.1. Организационно-правовая форма</w:t>
      </w:r>
    </w:p>
    <w:p>
      <w:pPr>
        <w:jc w:val="both"/>
      </w:pPr>
      <w:r>
        <w:t xml:space="preserve">Рекомендуемая форма — </w:t>
      </w:r>
      <w:r>
        <w:rPr>
          <w:b/>
        </w:rPr>
        <w:t>акционерное общество (АО)</w:t>
      </w:r>
      <w:r>
        <w:t>:</w:t>
      </w:r>
    </w:p>
    <w:p>
      <w:pPr>
        <w:pStyle w:val="ListBullet"/>
      </w:pPr>
      <w:r>
        <w:t>Соответствует требованиям ЦБ РФ к операторам ЦФА (259-ФЗ, ст. 10): минимальный собственный капитал, корпоративное управление, требования к составу акционеров.</w:t>
      </w:r>
    </w:p>
    <w:p>
      <w:pPr>
        <w:pStyle w:val="ListBullet"/>
      </w:pPr>
      <w:r>
        <w:t>Позволяет привлекать стратегических инвесторов через выпуск акций.</w:t>
      </w:r>
    </w:p>
    <w:p>
      <w:pPr>
        <w:pStyle w:val="ListBullet"/>
      </w:pPr>
      <w:r>
        <w:t>Совместимо с режимом стратегического государственного актива (если такая модель будет согласована).</w:t>
      </w:r>
    </w:p>
    <w:p>
      <w:pPr>
        <w:pStyle w:val="Heading3"/>
      </w:pPr>
      <w:r>
        <w:t>2.2. Учредители и контур владения</w:t>
      </w:r>
    </w:p>
    <w:p>
      <w:pPr>
        <w:jc w:val="both"/>
      </w:pPr>
      <w:r>
        <w:t>Учредительный пакет должен учитывать:</w:t>
      </w:r>
    </w:p>
    <w:p>
      <w:pPr>
        <w:pStyle w:val="ListNumber"/>
      </w:pPr>
      <w:r>
        <w:rPr>
          <w:b/>
        </w:rPr>
        <w:t>Правообладатель ноу-хау</w:t>
      </w:r>
      <w:r>
        <w:t xml:space="preserve"> — Кагиров Абдул-Хаким Ахмадович (свид. №4011265 от 19.12.2024). Доля учредителя обеспечивается передачей лицензии или внесением исключительного права в уставный капитал по оценке независимого оценщика.</w:t>
      </w:r>
    </w:p>
    <w:p>
      <w:pPr>
        <w:pStyle w:val="ListNumber"/>
      </w:pPr>
      <w:r>
        <w:rPr>
          <w:b/>
        </w:rPr>
        <w:t>Институциональные акционеры</w:t>
      </w:r>
      <w:r>
        <w:t xml:space="preserve"> — рекомендуется привлечение профильных институциональных инвесторов (банки развития, государственные финансовые корпорации, регулятор) для обеспечения политической поддержки и регуляторного комфорта.</w:t>
      </w:r>
    </w:p>
    <w:p>
      <w:pPr>
        <w:pStyle w:val="ListNumber"/>
      </w:pPr>
      <w:r>
        <w:rPr>
          <w:b/>
        </w:rPr>
        <w:t>Роль Банка России (Stage 1).</w:t>
      </w:r>
      <w:r>
        <w:t xml:space="preserve"> В Stage 1 (pilot-light 2026–2028) Банк России — общий надзорный регулятор финансового рынка по ст. 4 ФЗ № 86-ФЗ: согласовывает правила оператора информационной системы по ст. 6 ФЗ № 259-ФЗ, включает оператора в реестр по Положению № 779-П, надзирает за соблюдением требований к защите информации (683-П, 716-П) и ГОСТ Р 57580.1. Дополнительная эмиссия Банка России в Stage 1 не предусмотрена; финансирование размещения проводится через Фабрику проектного финансирования ВЭБ.РФ (ПП РФ № 158) и Федеральное казначейство в рамках Бюджетного кодекса. В рамках Stage 2 (горизонт 2029+) при положительном track-record Stage 1 ≥ 12 мес. и принятии пакета 4 ФЗ-поправок может быть рассмотрено расширение мандата к модели целевой обеспеченной эмиссии Банка России.</w:t>
      </w:r>
    </w:p>
    <w:p>
      <w:pPr>
        <w:pStyle w:val="Heading3"/>
      </w:pPr>
      <w:r>
        <w:t>2.3. Юрисдикция</w:t>
      </w:r>
    </w:p>
    <w:p>
      <w:pPr>
        <w:jc w:val="both"/>
      </w:pPr>
      <w:r>
        <w:t>Российская Федерация. Регистрация в Москве — соответствует размещению ключевых регуляторов (ЦБ РФ, Минфин, Минэк, Минцифры), Федерального казначейства, ключевых банковских контрагентов.</w:t>
      </w:r>
    </w:p>
    <w:p>
      <w:pPr>
        <w:pStyle w:val="Heading3"/>
      </w:pPr>
      <w:r>
        <w:t>2.4. Налоговый статус</w:t>
      </w:r>
    </w:p>
    <w:p>
      <w:pPr>
        <w:jc w:val="both"/>
      </w:pPr>
      <w:r>
        <w:t>При получении ИТ-аккредитации Минцифры и сохранении ≥70% ИТ-выручки применима льгота по налогу на прибыль (5% или 0% в зависимости от редакции НК РФ на дату). При построении базового сценария налог 25% (ставка с 01.01.2025 по 176-ФЗ от 12.07.2024) — консервативная база. Льгота — отдельный upside на оценку.</w:t>
      </w:r>
    </w:p>
    <w:p>
      <w:pPr>
        <w:pStyle w:val="Heading3"/>
      </w:pPr>
      <w:r>
        <w:t>2.5. Защита интеллектуальной собственности</w:t>
      </w:r>
    </w:p>
    <w:p>
      <w:pPr>
        <w:jc w:val="both"/>
      </w:pPr>
      <w:r>
        <w:t>Ядро ноу-хау оператора — концепция автора, защищённая свидетельством о депонировании №4011265 от 19.12.2024. Депонирование фиксирует дату приоритета (24.12.2024) и хеш произведения; правовой режим охраны — ноу-хау (ст. 1465 ГК) и программа для ЭВМ (ст. 1262 ГК, регистрация в Роспатенте — в работе) с даты внесения. На этапе создания компании-оператора правообладатель передаёт оператору исключительные либо неисключительные права на использование ноу-хау с фиксацией условий вознаграждения (лицензионное соглашение либо вклад в уставный капитал).</w:t>
      </w:r>
    </w:p>
    <w:p>
      <w:pPr>
        <w:pStyle w:val="Heading2"/>
      </w:pPr>
      <w:r>
        <w:t>3. Описание продукта/услуги</w:t>
      </w:r>
    </w:p>
    <w:p>
      <w:pPr>
        <w:pStyle w:val="Heading3"/>
      </w:pPr>
      <w:r>
        <w:t>3.1. Что такое ЦП РСФСР</w:t>
      </w:r>
    </w:p>
    <w:p>
      <w:pPr>
        <w:jc w:val="both"/>
      </w:pPr>
      <w:r>
        <w:t>ЦП РСФСР — цифровая платформа полного цикла, которая:</w:t>
      </w:r>
    </w:p>
    <w:p>
      <w:pPr>
        <w:pStyle w:val="ListNumber"/>
      </w:pPr>
      <w:r>
        <w:t>Принимает от собственника заявку на залог имущества (недвижимости, транспорта, интеллектуальной собственности, ценных бумаг и пр.).</w:t>
      </w:r>
    </w:p>
    <w:p>
      <w:pPr>
        <w:pStyle w:val="ListNumber"/>
      </w:pPr>
      <w:r>
        <w:t>Производит автоматизированную оценку залогового объекта с привлечением аккредитованных оценщиков по ФЗ № 135-ФЗ.</w:t>
      </w:r>
    </w:p>
    <w:p>
      <w:pPr>
        <w:pStyle w:val="ListNumber"/>
      </w:pPr>
      <w:r>
        <w:t>Регистрирует временное обременение на объект в соответствующих государственных реестрах (Росреестр, ГИБДД, депозитарии).</w:t>
      </w:r>
    </w:p>
    <w:p>
      <w:pPr>
        <w:pStyle w:val="ListNumber"/>
      </w:pPr>
      <w:r>
        <w:t>Согласовывает параметры выпуска с технологическим партнёром — оператором информационной системы выпуска ЦФА по 779-П (правила оператора по ст. 6 ФЗ № 259-ФЗ).</w:t>
      </w:r>
    </w:p>
    <w:p>
      <w:pPr>
        <w:pStyle w:val="ListNumber"/>
      </w:pPr>
      <w:r>
        <w:t>Технологический партнёр выпускает ЦФА в номинальной стоимости, соответствующей залоговой оценке (с учётом норматива дисконта).</w:t>
      </w:r>
    </w:p>
    <w:p>
      <w:pPr>
        <w:pStyle w:val="ListNumber"/>
      </w:pPr>
      <w:r>
        <w:rPr>
          <w:b/>
        </w:rPr>
        <w:t>Stage 1.</w:t>
      </w:r>
      <w:r>
        <w:t xml:space="preserve"> Финансирование размещения проводится через Фабрику проектного финансирования ВЭБ.РФ (ПП РФ от 15.02.2018 № 158) и Федеральное казначейство (БК РФ). Расчёты — безналичный рубль или цифровой рубль 340-ФЗ как расчётный комплемент.</w:t>
      </w:r>
    </w:p>
    <w:p>
      <w:pPr>
        <w:pStyle w:val="ListNumber"/>
      </w:pPr>
      <w:r>
        <w:t>Средства целевым образом направляются на финансирование национальных и инфраструктурных проектов в соответствии с действующими ФЗ и подзаконными актами.</w:t>
      </w:r>
    </w:p>
    <w:p>
      <w:pPr>
        <w:pStyle w:val="ListNumber"/>
      </w:pPr>
      <w:r>
        <w:t>ЦФА могут быть реализованы профессиональным участникам рынка ценных бумаг; средства от реализации зачисляются на счета по ст. 860.7–860.10 ГК.</w:t>
      </w:r>
    </w:p>
    <w:p>
      <w:pPr>
        <w:pStyle w:val="ListNumber"/>
      </w:pPr>
      <w:r>
        <w:t>По завершении срока проекта производится мена: ЦФА погашается, обременение с имущества снимается, собственник получает обратно свой объект и заранее согласованное финансовое вознаграждение.</w:t>
      </w:r>
    </w:p>
    <w:p>
      <w:pPr>
        <w:ind w:left="360"/>
      </w:pPr>
      <w:r>
        <w:rPr>
          <w:b/>
          <w:i/>
          <w:color w:val="444444"/>
        </w:rPr>
        <w:t>Stage 2 (горизонт 2029+).</w:t>
      </w:r>
      <w:r>
        <w:rPr>
          <w:i/>
          <w:color w:val="444444"/>
        </w:rPr>
        <w:t xml:space="preserve"> В рамках расширения мандата шаги 6–7 могут быть переведены на модель целевой обеспеченной эмиссии Банка России под пул залоговых ЦФА с эскроу-счётом под управлением ЦБ. Stage 2 реализуется после положительного track-record Stage 1 ≥ 12 мес. и принятия пакета 4 ФЗ-поправок (см. Юридический фундамент § 8.2).</w:t>
      </w:r>
    </w:p>
    <w:p>
      <w:pPr>
        <w:pStyle w:val="Heading3"/>
      </w:pPr>
      <w:r>
        <w:t>3.2. Чем продукт отличается от существующих ЦФА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Существующие ЦФА в РФ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ЦП РСФСР Stage 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ЦП РСФСР Stage 2 (горизонт)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Обеспечение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Денежные требования, акции, обязательства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Физическое и нематериальное имущество (под залог)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Физическое и нематериальное имущество (под залог)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Источник средств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Покупатель ЦФА оплачивает рублями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Фабрика ВЭБ.РФ + Федеральное казначейство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Целевая обеспеченная эмиссия Банка России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Свободное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Целевое (нацпроекты, инфраструктура)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Целевое (нацпроекты, инфраструктура)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Контур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Частный оператор, ЦБ — регулятор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Технологическое партнёрство с оператором 779-П + ЦБ как надзорный регулятор по ст. 4 86-ФЗ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Технологическое партнёрство + ЦБ как эмитент в расширенном мандате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Возврат имущества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завершения проекта — мена и возврат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После завершения проекта — мена и возврат</w:t>
            </w:r>
          </w:p>
        </w:tc>
      </w:tr>
    </w:tbl>
    <w:p/>
    <w:p>
      <w:pPr>
        <w:pStyle w:val="Heading3"/>
      </w:pPr>
      <w:r>
        <w:t>3.3. Преимущества (по концепту автора)</w:t>
      </w:r>
    </w:p>
    <w:p>
      <w:pPr>
        <w:pStyle w:val="ListNumber"/>
      </w:pPr>
      <w:r>
        <w:t>Прямое онлайн-взаимодействие залогодателя, финансовых агентов и исполнителей под контролем ЦБ РФ.</w:t>
      </w:r>
    </w:p>
    <w:p>
      <w:pPr>
        <w:pStyle w:val="ListNumber"/>
      </w:pPr>
      <w:r>
        <w:t>Сокращение сроков оценки и оформления залога.</w:t>
      </w:r>
    </w:p>
    <w:p>
      <w:pPr>
        <w:pStyle w:val="ListNumber"/>
      </w:pPr>
      <w:r>
        <w:t>Толчок развитию индустрии ЦФА в России.</w:t>
      </w:r>
    </w:p>
    <w:p>
      <w:pPr>
        <w:pStyle w:val="ListNumber"/>
      </w:pPr>
      <w:r>
        <w:t>Привлечение «спящих» частных активов в экономический оборот.</w:t>
      </w:r>
    </w:p>
    <w:p>
      <w:pPr>
        <w:pStyle w:val="ListNumber"/>
      </w:pPr>
      <w:r>
        <w:t>Решение объёмных государственных проектов без увеличения долговой нагрузки.</w:t>
      </w:r>
    </w:p>
    <w:p>
      <w:pPr>
        <w:pStyle w:val="ListNumber"/>
      </w:pPr>
      <w:r>
        <w:t>Сокращение очерёдности финансирования глобальных проектов.</w:t>
      </w:r>
    </w:p>
    <w:p>
      <w:pPr>
        <w:pStyle w:val="ListNumber"/>
      </w:pPr>
      <w:r>
        <w:t>Импульс реальному сектору экономики.</w:t>
      </w:r>
    </w:p>
    <w:p>
      <w:pPr>
        <w:pStyle w:val="ListNumber"/>
      </w:pPr>
      <w:r>
        <w:t>Внебюджетное финансирование госпроектов в денежноёмких отраслях (тяжёлая промышленность, машиностроение, медицина, наука).</w:t>
      </w:r>
    </w:p>
    <w:p>
      <w:pPr>
        <w:pStyle w:val="ListNumber"/>
      </w:pPr>
      <w:r>
        <w:t>Финансовое вознаграждение собственнику залогового имущества.</w:t>
      </w:r>
    </w:p>
    <w:p>
      <w:pPr>
        <w:pStyle w:val="ListNumber"/>
      </w:pPr>
      <w:r>
        <w:t>Инфляционные процессы остаются в обычном режиме (эмиссия идёт под полностью обеспеченные активы).</w:t>
      </w:r>
    </w:p>
    <w:p>
      <w:pPr>
        <w:pStyle w:val="Heading3"/>
      </w:pPr>
      <w:r>
        <w:t>3.4. Условия запуска</w:t>
      </w:r>
    </w:p>
    <w:p>
      <w:pPr>
        <w:jc w:val="both"/>
      </w:pPr>
      <w:r>
        <w:rPr>
          <w:b/>
        </w:rPr>
        <w:t>Stage 1 (pilot-light 2026–2028) — без поправок в ФЗ:</w:t>
      </w:r>
    </w:p>
    <w:p>
      <w:pPr>
        <w:pStyle w:val="ListNumber"/>
      </w:pPr>
      <w:r>
        <w:t>Учреждение АО-оператора и включение технологического партнёра в реестр операторов ИС ЦФА по Положению Банка России № 779-П (критический путь — СКЗИ-сертификация T+9…T+18 мес.).</w:t>
      </w:r>
    </w:p>
    <w:p>
      <w:pPr>
        <w:pStyle w:val="ListNumber"/>
      </w:pPr>
      <w:r>
        <w:t>Согласование правил информационной системы по ст. 6 ФЗ № 259-ФЗ с Банком России.</w:t>
      </w:r>
    </w:p>
    <w:p>
      <w:pPr>
        <w:pStyle w:val="ListNumber"/>
      </w:pPr>
      <w:r>
        <w:t>Consultative letter ВЭБ.РФ ФПФ по применимости ПП РФ № 158 к проектам ЦП РСФСР.</w:t>
      </w:r>
    </w:p>
    <w:p>
      <w:pPr>
        <w:pStyle w:val="ListNumber"/>
      </w:pPr>
      <w:r>
        <w:t>MoU с регионом-пилотом (Республика Татарстан / Тюменская обл.) на 5–10 млрд ₽ пилотного портфеля.</w:t>
      </w:r>
    </w:p>
    <w:p>
      <w:pPr>
        <w:pStyle w:val="ListNumber"/>
      </w:pPr>
      <w:r>
        <w:t>MoU с банком-партнёром  на роль расчётного и эскроу-агента.</w:t>
      </w:r>
    </w:p>
    <w:p>
      <w:pPr>
        <w:jc w:val="both"/>
      </w:pPr>
      <w:r>
        <w:rPr>
          <w:b/>
        </w:rPr>
        <w:t>Stage 2 (горизонт 2029+, T+36+):</w:t>
      </w:r>
    </w:p>
    <w:p>
      <w:pPr>
        <w:pStyle w:val="ListNumber"/>
      </w:pPr>
      <w:r>
        <w:t>Положительный track-record Stage 1 ≥ 12 мес. промышленной эксплуатации.</w:t>
      </w:r>
    </w:p>
    <w:p>
      <w:pPr>
        <w:pStyle w:val="ListNumber"/>
      </w:pPr>
      <w:r>
        <w:t>Межведомственная позиция Минэк / Минфин / ВЭБ.РФ / Госдума.</w:t>
      </w:r>
    </w:p>
    <w:p>
      <w:pPr>
        <w:pStyle w:val="ListNumber"/>
      </w:pPr>
      <w:r>
        <w:t>Пакет 4 ФЗ-поправок (86-ФЗ, 259-ФЗ, БК РФ, ГК РФ) + подзаконные акты.</w:t>
      </w:r>
    </w:p>
    <w:p>
      <w:pPr>
        <w:pStyle w:val="Heading2"/>
      </w:pPr>
      <w:r>
        <w:t>4. Анализ рынка</w:t>
      </w:r>
    </w:p>
    <w:p>
      <w:pPr>
        <w:pStyle w:val="Heading3"/>
      </w:pPr>
      <w:r>
        <w:t>4.1. Рынок ЦФА в РФ</w:t>
      </w:r>
    </w:p>
    <w:p>
      <w:pPr>
        <w:jc w:val="both"/>
      </w:pPr>
      <w:r>
        <w:t>В Российской Федерации с 2022 года действует Федеральный закон №259-ФЗ «О цифровых финансовых активах», который установил правовую рамку для эмиссии и обращения ЦФА. На рынке функционируют операторы информационных систем, прошедшие аккредитацию Банка России (информация публикуется в реестре ЦБ РФ).</w:t>
      </w:r>
    </w:p>
    <w:p>
      <w:pPr>
        <w:jc w:val="both"/>
      </w:pPr>
      <w:r>
        <w:t>По открытым данным, суммарный объём выпусков ЦФА в РФ за 2023-2025 годы исчисляется сотнями миллиардов рублей и демонстрирует уверенный рост. Доминирующие классы — денежные требования, корпоративные ЦФА, ЦФА на металлы. ЦФА под залог недвижимого имущества с прямой эмиссией средств ЦБ РФ в текущей рыночной практике отсутствуют.</w:t>
      </w:r>
    </w:p>
    <w:p>
      <w:pPr>
        <w:pStyle w:val="Heading3"/>
      </w:pPr>
      <w:r>
        <w:t>4.2. Объём залоговой массы РФ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Сегмент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Объём, трлн 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Источник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Жилой фонд (4,7 млрд м² × 85 000 ₽/м²)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 автора, Росстат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Коммерческая недвижимость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 автора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Земельные участки (ИЖС + под предприятиями)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 автора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507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Консервативная база (10% × 50%)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 автора</w:t>
            </w:r>
          </w:p>
        </w:tc>
      </w:tr>
    </w:tbl>
    <w:p/>
    <w:p>
      <w:pPr>
        <w:jc w:val="both"/>
      </w:pPr>
      <w:r>
        <w:t>Консервативная база 25 трлн ₽ — это «целевая ёмкость», к которой платформа стремится за горизонт 10 лет.</w:t>
      </w:r>
    </w:p>
    <w:p>
      <w:pPr>
        <w:pStyle w:val="Heading3"/>
      </w:pPr>
      <w:r>
        <w:t>4.3. Сегментация спроса</w:t>
      </w:r>
    </w:p>
    <w:p>
      <w:pPr>
        <w:jc w:val="both"/>
      </w:pPr>
      <w:r>
        <w:rPr>
          <w:b/>
        </w:rPr>
        <w:t>Физические лица (B2C):</w:t>
      </w:r>
    </w:p>
    <w:p>
      <w:pPr>
        <w:pStyle w:val="ListBullet"/>
      </w:pPr>
      <w:r>
        <w:t>Собственники жилой недвижимости со стабильным денежным потоком, ищущие способы монетизации актива без продажи.</w:t>
      </w:r>
    </w:p>
    <w:p>
      <w:pPr>
        <w:pStyle w:val="ListBullet"/>
      </w:pPr>
      <w:r>
        <w:t>Целевая группа — около 30-40% домохозяйств в крупных и средних городах РФ.</w:t>
      </w:r>
    </w:p>
    <w:p>
      <w:pPr>
        <w:jc w:val="both"/>
      </w:pPr>
      <w:r>
        <w:rPr>
          <w:b/>
        </w:rPr>
        <w:t>Юридические лица (B2B):</w:t>
      </w:r>
    </w:p>
    <w:p>
      <w:pPr>
        <w:pStyle w:val="ListBullet"/>
      </w:pPr>
      <w:r>
        <w:t>Собственники коммерческой недвижимости — арендодатели, девелоперы, торговые сети.</w:t>
      </w:r>
    </w:p>
    <w:p>
      <w:pPr>
        <w:pStyle w:val="ListBullet"/>
      </w:pPr>
      <w:r>
        <w:t>Промышленные предприятия с земельными активами.</w:t>
      </w:r>
    </w:p>
    <w:p>
      <w:pPr>
        <w:pStyle w:val="ListBullet"/>
      </w:pPr>
      <w:r>
        <w:t>Холдинги с непрофильными активами.</w:t>
      </w:r>
    </w:p>
    <w:p>
      <w:pPr>
        <w:jc w:val="both"/>
      </w:pPr>
      <w:r>
        <w:rPr>
          <w:b/>
        </w:rPr>
        <w:t>Государственные предприятия (B2G):</w:t>
      </w:r>
    </w:p>
    <w:p>
      <w:pPr>
        <w:pStyle w:val="ListBullet"/>
      </w:pPr>
      <w:r>
        <w:t>Владельцы инфраструктурных и социально значимых активов (включая через дочерние структуры).</w:t>
      </w:r>
    </w:p>
    <w:p>
      <w:pPr>
        <w:pStyle w:val="ListBullet"/>
      </w:pPr>
      <w:r>
        <w:t>Регионы и муниципалитеты — для финансирования региональных программ через залог муниципального имущества.</w:t>
      </w:r>
    </w:p>
    <w:p>
      <w:pPr>
        <w:pStyle w:val="Heading3"/>
      </w:pPr>
      <w:r>
        <w:t>4.4. Конкуренты</w:t>
      </w:r>
    </w:p>
    <w:p>
      <w:pPr>
        <w:jc w:val="both"/>
      </w:pPr>
      <w:r>
        <w:t>В Stage 1 (wedge-pilot 2026–2028) действующие операторы реестра 779-П (Сбер ЦФА, Альфа ЦФА, АО «Атомайз», Мастерчейн) — потенциальные технологические партнёры, не конкуренты на лицензионном уровне. Косвенные конкуренты: банковское кредитование под залог недвижимости (медленнее, дороже, без целевой ориентации на нацпроекты); краудфандинговые и инвестплатформы (мельче, без госконтура).</w:t>
      </w:r>
    </w:p>
    <w:p>
      <w:pPr>
        <w:jc w:val="both"/>
      </w:pPr>
      <w:r>
        <w:t>Конкурентное преимущество ЦП РСФСР — двухстадийная архитектура: в Stage 1 — специализированная front-end-надстройка над оператором 779-П с привязкой к инфраструктурному фондированию через Фабрику ВЭБ.РФ (ПП РФ № 158) + Федеральное казначейство (БК РФ) и целевым размещением в нацпроекты при сохранении имущества за собственником. В Stage 2 (горизонт 2029+) — defensible путь к модели целевой обеспеченной эмиссии Банка России. Это не «лучший» продукт в существующей категории, а новая категория целевого инфраструктурного ЦФА.</w:t>
      </w:r>
    </w:p>
    <w:p>
      <w:pPr>
        <w:pStyle w:val="Heading3"/>
      </w:pPr>
      <w:r>
        <w:t>4.5. Регуляторная среда</w:t>
      </w:r>
    </w:p>
    <w:p>
      <w:pPr>
        <w:jc w:val="both"/>
      </w:pPr>
      <w:r>
        <w:rPr>
          <w:b/>
        </w:rPr>
        <w:t>Текущая база:</w:t>
      </w:r>
    </w:p>
    <w:p>
      <w:pPr>
        <w:pStyle w:val="ListBullet"/>
      </w:pPr>
      <w:r>
        <w:t>86-ФЗ «О Центральном банке Российской Федерации (Банке России)»</w:t>
      </w:r>
    </w:p>
    <w:p>
      <w:pPr>
        <w:pStyle w:val="ListBullet"/>
      </w:pPr>
      <w:r>
        <w:t>259-ФЗ «О цифровых финансовых активах, цифровой валюте и о внесении изменений в отдельные законодательные акты Российской Федерации»</w:t>
      </w:r>
    </w:p>
    <w:p>
      <w:pPr>
        <w:pStyle w:val="ListBullet"/>
      </w:pPr>
      <w:r>
        <w:t>39-ФЗ «О рынке ценных бумаг»</w:t>
      </w:r>
    </w:p>
    <w:p>
      <w:pPr>
        <w:pStyle w:val="ListBullet"/>
      </w:pPr>
      <w:r>
        <w:t>102-ФЗ «Об ипотеке (залоге недвижимости)»</w:t>
      </w:r>
    </w:p>
    <w:p>
      <w:pPr>
        <w:pStyle w:val="ListBullet"/>
      </w:pPr>
      <w:r>
        <w:t>218-ФЗ «О государственной регистрации недвижимости»</w:t>
      </w:r>
    </w:p>
    <w:p>
      <w:pPr>
        <w:pStyle w:val="ListBullet"/>
      </w:pPr>
      <w:r>
        <w:t>НК РФ (главы 21, 25, 34)</w:t>
      </w:r>
    </w:p>
    <w:p>
      <w:pPr>
        <w:jc w:val="both"/>
      </w:pPr>
      <w:r>
        <w:rPr>
          <w:b/>
        </w:rPr>
        <w:t>Stage 1 (2026–2028): нормативные изменения не требуются.</w:t>
      </w:r>
      <w:r>
        <w:t xml:space="preserve"> Ближний контур запускается на действующей базе 259-ФЗ + 779-П + БК РФ + ПП РФ № 158 + ГК РФ. Корректировки оформляются на уровне правил оператора по ст. 6 ФЗ № 259-ФЗ (согласование с Банком России) и договорной структуры с технологическим партнёром (действующий субъект реестра 779-П).</w:t>
      </w:r>
    </w:p>
    <w:p>
      <w:pPr>
        <w:jc w:val="both"/>
      </w:pPr>
      <w:r>
        <w:rPr>
          <w:b/>
        </w:rPr>
        <w:t>Stage 2 (горизонт 2029+): пакет 4 ФЗ-поправок.</w:t>
      </w:r>
      <w:r>
        <w:t xml:space="preserve"> Условие входа — положительный track-record Stage 1 не менее 12 мес. промышленной эксплуатации и межведомственная позиция Минэк / Минфин / ВЭБ.РФ / Госдума. Состав:</w:t>
      </w:r>
    </w:p>
    <w:p>
      <w:pPr>
        <w:pStyle w:val="ListBullet"/>
      </w:pPr>
      <w:r>
        <w:t>86-ФЗ — формализация института целевой обеспеченной эмиссии под пул залоговых ЦФА.</w:t>
      </w:r>
    </w:p>
    <w:p>
      <w:pPr>
        <w:pStyle w:val="ListBullet"/>
      </w:pPr>
      <w:r>
        <w:t>259-ФЗ — категория «целевого инфраструктурного ЦФА» и регулирование процедуры мены.</w:t>
      </w:r>
    </w:p>
    <w:p>
      <w:pPr>
        <w:pStyle w:val="ListBullet"/>
      </w:pPr>
      <w:r>
        <w:t>БК РФ — порядок приёма Федеральным казначейством средств целевой эмиссии.</w:t>
      </w:r>
    </w:p>
    <w:p>
      <w:pPr>
        <w:pStyle w:val="ListBullet"/>
      </w:pPr>
      <w:r>
        <w:t>ГК РФ — расширение института эскроу на специальные счета Банка России для размещения средств целевой эмиссии.</w:t>
      </w:r>
    </w:p>
    <w:p>
      <w:pPr>
        <w:pStyle w:val="ListBullet"/>
      </w:pPr>
      <w:r>
        <w:t>Подзаконные акты: ПП РФ, Указание Банка России, совместный приказ Минфина / ЦБ / Минцифры / Росреестра / ФК.</w:t>
      </w:r>
    </w:p>
    <w:p>
      <w:pPr>
        <w:jc w:val="both"/>
      </w:pPr>
      <w:r>
        <w:t>Этот блок описан в отдельном документе «Юридический фундамент» проекта.</w:t>
      </w:r>
    </w:p>
    <w:p>
      <w:pPr>
        <w:pStyle w:val="Heading2"/>
      </w:pPr>
      <w:r>
        <w:t>5. Маркетинг и продажи</w:t>
      </w:r>
    </w:p>
    <w:p>
      <w:pPr>
        <w:pStyle w:val="Heading3"/>
      </w:pPr>
      <w:r>
        <w:t>5.1. Каналы привлечения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Канал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Целевая аудитория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Ожидаемая доля выпуска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Партнёрские банки (B2B2C)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Физлица и МСП через банковские приложения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40-50%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Прямой digital-канал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Собственники крупных активов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15-20%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Партнёрские страховые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кросс-продажи страховых продуктов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10-15%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Партнёрские оценщики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профессиональное сообщество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5-10%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Государственный B2G-канал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региональные и муниципальные программы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15-20%</w:t>
            </w:r>
          </w:p>
        </w:tc>
      </w:tr>
    </w:tbl>
    <w:p/>
    <w:p>
      <w:pPr>
        <w:pStyle w:val="Heading3"/>
      </w:pPr>
      <w:r>
        <w:t>5.2. Юнит-экономика</w:t>
      </w:r>
    </w:p>
    <w:p>
      <w:pPr>
        <w:jc w:val="both"/>
      </w:pPr>
      <w:r>
        <w:rPr>
          <w:b/>
        </w:rPr>
        <w:t>Базовый расчёт по среднему выпуску.</w:t>
      </w:r>
      <w:r>
        <w:t xml:space="preserve"> Средний выпуск ЦФА (на одного клиента физлица) — 10 млн ₽ (исходя из средней стоимости жилой недвижимости в крупном городе и среднего LTV 50%).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Средний выпуск, 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10 000 000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Комиссия за выпуск (0,5%), 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50 000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Сервисная комиссия (0,3% × 5 лет), 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150 000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Платформенный сбор (0,15%), 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15 000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LTV (lifetime value), 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215 000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CAC (cost of acquisition), оценочный, ₽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20 000-40 000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LTV/CAC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5-10x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Payback CAC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4-9 мес.</w:t>
            </w:r>
          </w:p>
        </w:tc>
      </w:tr>
    </w:tbl>
    <w:p/>
    <w:p>
      <w:pPr>
        <w:ind w:left="360"/>
      </w:pPr>
      <w:r>
        <w:rPr>
          <w:i/>
          <w:color w:val="444444"/>
        </w:rPr>
        <w:t>Юнит-экономика положительна с первого выпуска. Высокий LTV/CAC обусловлен длительностью обслуживания (5 лет средний срок жизни ЦФА) и автоматизацией процессов оценки.</w:t>
      </w:r>
    </w:p>
    <w:p>
      <w:pPr>
        <w:pStyle w:val="Heading3"/>
      </w:pPr>
      <w:r>
        <w:t>5.3. Партнёрская модель</w:t>
      </w:r>
    </w:p>
    <w:p>
      <w:pPr>
        <w:jc w:val="both"/>
      </w:pPr>
      <w:r>
        <w:rPr>
          <w:b/>
        </w:rPr>
        <w:t>Банки.</w:t>
      </w:r>
      <w:r>
        <w:t xml:space="preserve"> ЦП РСФСР интегрируется в банковские приложения через API. Партнёрский банк выступает каналом привлечения и получает revenue share (например, 30-50% от комиссии за выпуск). Это обеспечивает банку новую линейку сервисов без дополнительных регуляторных требований.</w:t>
      </w:r>
    </w:p>
    <w:p>
      <w:pPr>
        <w:jc w:val="both"/>
      </w:pPr>
      <w:r>
        <w:rPr>
          <w:b/>
        </w:rPr>
        <w:t>Страховые компании.</w:t>
      </w:r>
      <w:r>
        <w:t xml:space="preserve"> Обязательное страхование заложенного имущества — встроенный модуль платформы. Страховщик получает премию + кросс-продажи (КАСКО, ИФЛ). Платформа берёт agency fee.</w:t>
      </w:r>
    </w:p>
    <w:p>
      <w:pPr>
        <w:jc w:val="both"/>
      </w:pPr>
      <w:r>
        <w:rPr>
          <w:b/>
        </w:rPr>
        <w:t>Оценочные компании.</w:t>
      </w:r>
      <w:r>
        <w:t xml:space="preserve"> Аккредитованные оценщики проводят первичную оценку залога; платформа автоматизирует 70-80% процесса (массовая оценка + камеральная экспертиза). Оценщик получает фиксированный фи.</w:t>
      </w:r>
    </w:p>
    <w:p>
      <w:pPr>
        <w:jc w:val="both"/>
      </w:pPr>
      <w:r>
        <w:rPr>
          <w:b/>
        </w:rPr>
        <w:t>Технологические интеграторы.</w:t>
      </w:r>
      <w:r>
        <w:t xml:space="preserve"> Внедрение платформы в инфраструктуру партнёра — отдельный сервис, оплачиваемый по фикс-проектной модели.</w:t>
      </w:r>
    </w:p>
    <w:p>
      <w:pPr>
        <w:pStyle w:val="Heading3"/>
      </w:pPr>
      <w:r>
        <w:t>5.4. Маркетинговый план</w:t>
      </w:r>
    </w:p>
    <w:p>
      <w:pPr>
        <w:pStyle w:val="ListBullet"/>
      </w:pPr>
      <w:r>
        <w:t>2026-2027 (этап 0): закрытые презентации регуляторам, профильным комитетам Госдумы и Правительства РФ.</w:t>
      </w:r>
    </w:p>
    <w:p>
      <w:pPr>
        <w:pStyle w:val="ListBullet"/>
      </w:pPr>
      <w:r>
        <w:t>2027 (этап 1): отраслевые мероприятия (ФинТех Форум, ПМЭФ, Финополис), запуск B2B-сайта, технических документов.</w:t>
      </w:r>
    </w:p>
    <w:p>
      <w:pPr>
        <w:pStyle w:val="ListBullet"/>
      </w:pPr>
      <w:r>
        <w:t>2028-2029 (этап 2): подключение первых 5-10 банков-партнёров, запуск пилотных программ.</w:t>
      </w:r>
    </w:p>
    <w:p>
      <w:pPr>
        <w:pStyle w:val="ListBullet"/>
      </w:pPr>
      <w:r>
        <w:t>2030-2032 (этап 3): массовая кампания для частных лиц через приложения банков, региональные программы для государственного сектора.</w:t>
      </w:r>
    </w:p>
    <w:p>
      <w:pPr>
        <w:pStyle w:val="ListBullet"/>
      </w:pPr>
      <w:r>
        <w:t>2033+: международное позиционирование (БРИКС-формат), модель для тиражирования в дружественных юрисдикциях.</w:t>
      </w:r>
    </w:p>
    <w:p>
      <w:pPr>
        <w:pStyle w:val="Heading2"/>
      </w:pPr>
      <w:r>
        <w:t>6. Операционный план</w:t>
      </w:r>
    </w:p>
    <w:p>
      <w:pPr>
        <w:pStyle w:val="Heading3"/>
      </w:pPr>
      <w:r>
        <w:t>6.1. Расположение</w:t>
      </w:r>
    </w:p>
    <w:p>
      <w:pPr>
        <w:jc w:val="both"/>
      </w:pPr>
      <w:r>
        <w:rPr>
          <w:b/>
        </w:rPr>
        <w:t>Головной офис</w:t>
      </w:r>
      <w:r>
        <w:t xml:space="preserve"> — Москва (близость к ЦБ РФ, Минфину, Минэку, Госдуме). Оптимальный класс — A или A+, расположение в финансовом квартале (Москва-Сити, Замоскворечье, Тверская).</w:t>
      </w:r>
    </w:p>
    <w:p>
      <w:pPr>
        <w:jc w:val="both"/>
      </w:pPr>
      <w:r>
        <w:rPr>
          <w:b/>
        </w:rPr>
        <w:t>ЦОД-площадки</w:t>
      </w:r>
      <w:r>
        <w:t xml:space="preserve"> — два независимых ЦОД на территории РФ уровня Tier-III или выше, с географической репликацией (рекомендуется Москва + один из региональных центров — Санкт-Петербург, Екатеринбург или Новосибирск). Подключение через сертифицированных операторов связи с резервированными каналами.</w:t>
      </w:r>
    </w:p>
    <w:p>
      <w:pPr>
        <w:pStyle w:val="Heading3"/>
      </w:pPr>
      <w:r>
        <w:t>6.2. Технологические партнёры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Категория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Тип партнёра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ЦОД и связь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Сертифицированные операторы РФ (Tier-III+, с гос. лицензиями)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Криптографические модули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Российские сертифицированные ФСБ криптопровайдеры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Системы оценки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Аккредитованные оценщики РФ, в первую очередь — лидеры рынка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Страхование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Топ-20 страховых компаний РФ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Госорганы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Росреестр, ГИБДД, депозитарии, Федеральное казначейство (через защищённые каналы СМЭВ)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Аудит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Независимые аудиторы из реестра ЦБ РФ</w:t>
            </w:r>
          </w:p>
        </w:tc>
      </w:tr>
    </w:tbl>
    <w:p/>
    <w:p>
      <w:pPr>
        <w:pStyle w:val="Heading3"/>
      </w:pPr>
      <w:r>
        <w:t>6.3. Организационная структура</w:t>
      </w:r>
    </w:p>
    <w:p>
      <w:pPr>
        <w:jc w:val="both"/>
      </w:pPr>
      <w:r>
        <w:rPr>
          <w:b/>
        </w:rPr>
        <w:t>Уровни управления:</w:t>
      </w:r>
    </w:p>
    <w:p>
      <w:pPr>
        <w:pStyle w:val="ListBullet"/>
      </w:pPr>
      <w:r>
        <w:t>Совет директоров (5-9 чел., включая независимых директоров).</w:t>
      </w:r>
    </w:p>
    <w:p>
      <w:pPr>
        <w:pStyle w:val="ListBullet"/>
      </w:pPr>
      <w:r>
        <w:t>Правление (CEO + 5-7 функциональных руководителей).</w:t>
      </w:r>
    </w:p>
    <w:p>
      <w:pPr>
        <w:pStyle w:val="ListBullet"/>
      </w:pPr>
      <w:r>
        <w:t>Функциональные направления:</w:t>
      </w:r>
    </w:p>
    <w:p>
      <w:pPr>
        <w:pStyle w:val="ListBullet"/>
      </w:pPr>
      <w:r>
        <w:t>Разработка и инфраструктура (CTO).</w:t>
      </w:r>
    </w:p>
    <w:p>
      <w:pPr>
        <w:pStyle w:val="ListBullet"/>
      </w:pPr>
      <w:r>
        <w:t>Операции и клиентский сервис (COO).</w:t>
      </w:r>
    </w:p>
    <w:p>
      <w:pPr>
        <w:pStyle w:val="ListBullet"/>
      </w:pPr>
      <w:r>
        <w:t>Финансы (CFO).</w:t>
      </w:r>
    </w:p>
    <w:p>
      <w:pPr>
        <w:pStyle w:val="ListBullet"/>
      </w:pPr>
      <w:r>
        <w:t>Юридический и комплаенс (CCO).</w:t>
      </w:r>
    </w:p>
    <w:p>
      <w:pPr>
        <w:pStyle w:val="ListBullet"/>
      </w:pPr>
      <w:r>
        <w:t>Управление рисками (CRO).</w:t>
      </w:r>
    </w:p>
    <w:p>
      <w:pPr>
        <w:pStyle w:val="ListBullet"/>
      </w:pPr>
      <w:r>
        <w:t>BD и партнёрства (CBO/CRO).</w:t>
      </w:r>
    </w:p>
    <w:p>
      <w:pPr>
        <w:pStyle w:val="ListBullet"/>
      </w:pPr>
      <w:r>
        <w:t>Маркетинг и PR (CMO).</w:t>
      </w:r>
    </w:p>
    <w:p>
      <w:pPr>
        <w:pStyle w:val="ListBullet"/>
      </w:pPr>
      <w:r>
        <w:t>HR и культура (CHRO).</w:t>
      </w:r>
    </w:p>
    <w:p>
      <w:pPr>
        <w:pStyle w:val="Heading3"/>
      </w:pPr>
      <w:r>
        <w:t>6.4. Штатное расписание (FTE по годам)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Год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2027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2028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2029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2030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2031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2032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2033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2034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2035</w:t>
            </w:r>
          </w:p>
        </w:tc>
        <w:tc>
          <w:tcPr>
            <w:tcW w:type="dxa" w:w="78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2036</w:t>
            </w:r>
          </w:p>
        </w:tc>
      </w:tr>
      <w:tr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Численность, чел.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120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160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240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270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300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330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350</w:t>
            </w:r>
          </w:p>
        </w:tc>
        <w:tc>
          <w:tcPr>
            <w:tcW w:type="dxa" w:w="785"/>
          </w:tcPr>
          <w:p>
            <w:r>
              <w:rPr>
                <w:sz w:val="17"/>
              </w:rPr>
            </w:r>
            <w:r>
              <w:rPr>
                <w:sz w:val="17"/>
              </w:rPr>
              <w:t>370</w:t>
            </w:r>
          </w:p>
        </w:tc>
      </w:tr>
    </w:tbl>
    <w:p/>
    <w:p>
      <w:pPr>
        <w:jc w:val="both"/>
      </w:pPr>
      <w:r>
        <w:t>Фонд оплаты труда в модели рассчитывается как численность × средний оклад × 12 × 1,30 (страховые взносы 30%). Оклад первого года — 350 тыс. ₽ в месяц, индексация 6% в год.</w:t>
      </w:r>
    </w:p>
    <w:p>
      <w:pPr>
        <w:jc w:val="both"/>
      </w:pPr>
      <w:r>
        <w:t>Структура к концу года 2 (120 FTE):</w:t>
      </w:r>
    </w:p>
    <w:p>
      <w:pPr>
        <w:pStyle w:val="ListBullet"/>
      </w:pPr>
      <w:r>
        <w:t>Разработка и инфраструктура — 50 чел. (42%)</w:t>
      </w:r>
    </w:p>
    <w:p>
      <w:pPr>
        <w:pStyle w:val="ListBullet"/>
      </w:pPr>
      <w:r>
        <w:t>Операции и клиентский сервис — 20 чел. (17%)</w:t>
      </w:r>
    </w:p>
    <w:p>
      <w:pPr>
        <w:pStyle w:val="ListBullet"/>
      </w:pPr>
      <w:r>
        <w:t>Юридический и комплаенс — 15 чел. (12,5%)</w:t>
      </w:r>
    </w:p>
    <w:p>
      <w:pPr>
        <w:pStyle w:val="ListBullet"/>
      </w:pPr>
      <w:r>
        <w:t>Управление рисками — 10 чел. (8%)</w:t>
      </w:r>
    </w:p>
    <w:p>
      <w:pPr>
        <w:pStyle w:val="ListBullet"/>
      </w:pPr>
      <w:r>
        <w:t>BD и партнёрства — 10 чел. (8%)</w:t>
      </w:r>
    </w:p>
    <w:p>
      <w:pPr>
        <w:pStyle w:val="ListBullet"/>
      </w:pPr>
      <w:r>
        <w:t>Финансы — 8 чел. (7%)</w:t>
      </w:r>
    </w:p>
    <w:p>
      <w:pPr>
        <w:pStyle w:val="ListBullet"/>
      </w:pPr>
      <w:r>
        <w:t>Маркетинг и PR — 4 чел. (3%)</w:t>
      </w:r>
    </w:p>
    <w:p>
      <w:pPr>
        <w:pStyle w:val="ListBullet"/>
      </w:pPr>
      <w:r>
        <w:t>HR и культура — 3 чел. (2,5%)</w:t>
      </w:r>
    </w:p>
    <w:p>
      <w:pPr>
        <w:pStyle w:val="Heading2"/>
      </w:pPr>
      <w:r>
        <w:t>7. Технологический план</w:t>
      </w:r>
    </w:p>
    <w:p>
      <w:pPr>
        <w:jc w:val="both"/>
      </w:pPr>
      <w:r>
        <w:t xml:space="preserve">Технологический контур ЦП РСФСР описан в отдельном документе «Техническая документация со ссылками на ФЗ и инструкции ЦБ РФ» (папка </w:t>
      </w:r>
      <w:r>
        <w:rPr>
          <w:rFonts w:ascii="Consolas" w:hAnsi="Consolas"/>
          <w:sz w:val="18"/>
        </w:rPr>
        <w:t>01_Техническая_документация</w:t>
      </w:r>
      <w:r>
        <w:t>).</w:t>
      </w:r>
    </w:p>
    <w:p>
      <w:pPr>
        <w:jc w:val="both"/>
      </w:pPr>
      <w:r>
        <w:t>Ключевые архитектурные принципы:</w:t>
      </w:r>
    </w:p>
    <w:p>
      <w:pPr>
        <w:pStyle w:val="ListNumber"/>
      </w:pPr>
      <w:r>
        <w:t>Микросервисная архитектура на стеке российских технологий (Astra Linux, СУБД из реестра ПО, российские криптомодули).</w:t>
      </w:r>
    </w:p>
    <w:p>
      <w:pPr>
        <w:pStyle w:val="ListNumber"/>
      </w:pPr>
      <w:r>
        <w:t>Гео-репликация между двумя ЦОД с RPO ≤ 5 мин, RTO ≤ 30 мин.</w:t>
      </w:r>
    </w:p>
    <w:p>
      <w:pPr>
        <w:pStyle w:val="ListNumber"/>
      </w:pPr>
      <w:r>
        <w:t>Многоуровневая модель безопасности (соответствие 152-ФЗ, требованиям ФСТЭК, ГОСТ).</w:t>
      </w:r>
    </w:p>
    <w:p>
      <w:pPr>
        <w:pStyle w:val="ListNumber"/>
      </w:pPr>
      <w:r>
        <w:t>Интеграционная шина для подключения банков, страховых, оценщиков, госорганов.</w:t>
      </w:r>
    </w:p>
    <w:p>
      <w:pPr>
        <w:pStyle w:val="ListNumber"/>
      </w:pPr>
      <w:r>
        <w:t>Цифровая идентификация — Госуслуги, СБП (для физлиц); ЭП и ЭДО — для юрлиц.</w:t>
      </w:r>
    </w:p>
    <w:p>
      <w:pPr>
        <w:pStyle w:val="ListNumber"/>
      </w:pPr>
      <w:r>
        <w:t>Распределённый реестр для регистрации ЦФА (на сертифицированной российской платформе).</w:t>
      </w:r>
    </w:p>
    <w:p>
      <w:pPr>
        <w:pStyle w:val="ListNumber"/>
      </w:pPr>
      <w:r>
        <w:t>Полное соответствие требованиям ЦБ РФ к операторам ЦФА (положения, инструкции, нормативы).</w:t>
      </w:r>
    </w:p>
    <w:p>
      <w:pPr>
        <w:pStyle w:val="Heading3"/>
      </w:pPr>
      <w:r>
        <w:t>Готовность клиентской части (по состоянию на 2026 г.)</w:t>
      </w:r>
    </w:p>
    <w:p>
      <w:pPr>
        <w:jc w:val="both"/>
      </w:pPr>
      <w:r>
        <w:t xml:space="preserve">К моменту начала переговоров с Банком России и инвесторами клиентская часть платформы </w:t>
      </w:r>
      <w:r>
        <w:rPr>
          <w:b/>
        </w:rPr>
        <w:t>полностью разработана</w:t>
      </w:r>
      <w:r>
        <w:t>:</w:t>
      </w:r>
    </w:p>
    <w:p>
      <w:pPr>
        <w:pStyle w:val="ListBullet"/>
      </w:pPr>
      <w:r>
        <w:rPr>
          <w:b/>
        </w:rPr>
        <w:t>Мобильное приложение в формате Progressive Web App</w:t>
      </w:r>
      <w:r>
        <w:t xml:space="preserve"> — 23 экрана, полный жизненный цикл из 19 шагов автора (от регистрации до мены ЦФА), 4 темы оформления, 4 языка (русский, английский, французский, арабский с RTL), Service Worker для оффлайн-режима, manifest.json для установки на устройство.</w:t>
      </w:r>
    </w:p>
    <w:p>
      <w:pPr>
        <w:pStyle w:val="ListBullet"/>
      </w:pPr>
      <w:r>
        <w:rPr>
          <w:b/>
        </w:rPr>
        <w:t>Конструкторская документация по ГОСТ 19</w:t>
      </w:r>
      <w:r>
        <w:t xml:space="preserve"> — 12 документов от ТЗ (19.201) до ведомости эксплуатационных документов (19.507), готовы к подаче в реестр Минцифры (ПП РФ №1236) и для сертификации ФСТЭК / ФСБ.</w:t>
      </w:r>
    </w:p>
    <w:p>
      <w:pPr>
        <w:pStyle w:val="ListBullet"/>
      </w:pPr>
      <w:r>
        <w:rPr>
          <w:b/>
        </w:rPr>
        <w:t>Платформенные сборки через Capacitor 6</w:t>
      </w:r>
      <w:r>
        <w:t xml:space="preserve"> — конфигурация и инструкции для упаковки в нативные приложения Android (AAB для RuStore и Google Play), iOS (App Store), Windows (MSIX для Microsoft Store).</w:t>
      </w:r>
    </w:p>
    <w:p>
      <w:pPr>
        <w:pStyle w:val="ListBullet"/>
      </w:pPr>
      <w:r>
        <w:rPr>
          <w:b/>
        </w:rPr>
        <w:t>Публикационный пакет RuStore</w:t>
      </w:r>
      <w:r>
        <w:t xml:space="preserve"> — описание для каталога, политика конфиденциальности (по 152-ФЗ), условия использования, промо-материалы, чек-лист публикации.</w:t>
      </w:r>
    </w:p>
    <w:p>
      <w:pPr>
        <w:jc w:val="both"/>
      </w:pPr>
      <w:r>
        <w:t>Готовность клиентской части сокращает срок выхода на пилотный контур ориентировочно на 3 месяца и снижает технологический риск разработки. Это учтено в обновлённой международной оценке проекта (Reasoned Value pre-money — $ 100 млн в базовой зоне).</w:t>
      </w:r>
    </w:p>
    <w:p>
      <w:pPr>
        <w:pStyle w:val="Heading2"/>
      </w:pPr>
      <w:r>
        <w:t>8. Дорожная карта</w:t>
      </w:r>
    </w:p>
    <w:p>
      <w:pPr>
        <w:pStyle w:val="Heading3"/>
      </w:pPr>
      <w:r>
        <w:t>2027 — Подготовка</w:t>
      </w:r>
    </w:p>
    <w:p>
      <w:pPr>
        <w:pStyle w:val="ListBullet"/>
      </w:pPr>
      <w:r>
        <w:t>Регистрация юридического лица.</w:t>
      </w:r>
    </w:p>
    <w:p>
      <w:pPr>
        <w:pStyle w:val="ListBullet"/>
      </w:pPr>
      <w:r>
        <w:t>Привлечение стартового финансирования (1,8 млрд ₽).</w:t>
      </w:r>
    </w:p>
    <w:p>
      <w:pPr>
        <w:pStyle w:val="ListBullet"/>
      </w:pPr>
      <w:r>
        <w:t>Формирование команды (40→120 человек).</w:t>
      </w:r>
    </w:p>
    <w:p>
      <w:pPr>
        <w:pStyle w:val="ListBullet"/>
      </w:pPr>
      <w:r>
        <w:t>Разработка платформы (этап 1): ядро, модули оценки, регистрации обременения, выпуска ЦФА.</w:t>
      </w:r>
    </w:p>
    <w:p>
      <w:pPr>
        <w:pStyle w:val="ListBullet"/>
      </w:pPr>
      <w:r>
        <w:t>Юридическое сопровождение поправок в 86-ФЗ и 259-ФЗ.</w:t>
      </w:r>
    </w:p>
    <w:p>
      <w:pPr>
        <w:pStyle w:val="ListBullet"/>
      </w:pPr>
      <w:r>
        <w:t>Получение профильной лицензии ЦБ РФ.</w:t>
      </w:r>
    </w:p>
    <w:p>
      <w:pPr>
        <w:pStyle w:val="ListBullet"/>
      </w:pPr>
      <w:r>
        <w:t>Аккредитация в реестре операторов информационных систем ЦБ РФ.</w:t>
      </w:r>
    </w:p>
    <w:p>
      <w:pPr>
        <w:pStyle w:val="Heading3"/>
      </w:pPr>
      <w:r>
        <w:t>2028-2029 — Пилот</w:t>
      </w:r>
    </w:p>
    <w:p>
      <w:pPr>
        <w:pStyle w:val="ListBullet"/>
      </w:pPr>
      <w:r>
        <w:t>Запуск пилотных программ с 2-3 банками-партнёрами.</w:t>
      </w:r>
    </w:p>
    <w:p>
      <w:pPr>
        <w:pStyle w:val="ListBullet"/>
      </w:pPr>
      <w:r>
        <w:t>Первые выпуски ЦФА (объём ~112 млрд ₽ в 2028, ~526 млрд ₽ в 2029).</w:t>
      </w:r>
    </w:p>
    <w:p>
      <w:pPr>
        <w:pStyle w:val="ListBullet"/>
      </w:pPr>
      <w:r>
        <w:t>Отработка операционных процессов на ограниченной выборке.</w:t>
      </w:r>
    </w:p>
    <w:p>
      <w:pPr>
        <w:pStyle w:val="ListBullet"/>
      </w:pPr>
      <w:r>
        <w:t>Интеграция с Росреестром, депозитариями, Федеральным казначейством.</w:t>
      </w:r>
    </w:p>
    <w:p>
      <w:pPr>
        <w:pStyle w:val="ListBullet"/>
      </w:pPr>
      <w:r>
        <w:t>Подключение первых страховых партнёров и оценочных компаний.</w:t>
      </w:r>
    </w:p>
    <w:p>
      <w:pPr>
        <w:pStyle w:val="Heading3"/>
      </w:pPr>
      <w:r>
        <w:t>2030+ — Тиражирование</w:t>
      </w:r>
    </w:p>
    <w:p>
      <w:pPr>
        <w:pStyle w:val="ListBullet"/>
      </w:pPr>
      <w:r>
        <w:t>Расширение партнёрской сети (банки, регионы, отрасли).</w:t>
      </w:r>
    </w:p>
    <w:p>
      <w:pPr>
        <w:pStyle w:val="ListBullet"/>
      </w:pPr>
      <w:r>
        <w:t>Масштабирование выпусков (ежегодный объём от 1,3 трлн ₽ в 2030 до 6,9 трлн ₽ в 2036).</w:t>
      </w:r>
    </w:p>
    <w:p>
      <w:pPr>
        <w:pStyle w:val="ListBullet"/>
      </w:pPr>
      <w:r>
        <w:t>Подключение государственных программ финансирования через эскроу-контур ЦБ РФ.</w:t>
      </w:r>
    </w:p>
    <w:p>
      <w:pPr>
        <w:pStyle w:val="ListBullet"/>
      </w:pPr>
      <w:r>
        <w:t>Запуск B2C-каналов через банковские приложения.</w:t>
      </w:r>
    </w:p>
    <w:p>
      <w:pPr>
        <w:pStyle w:val="ListBullet"/>
      </w:pPr>
      <w:r>
        <w:t>Подготовка к экспорту модели в дружественные юрисдикции (БРИКС-формат).</w:t>
      </w:r>
    </w:p>
    <w:p>
      <w:pPr>
        <w:pStyle w:val="Heading2"/>
      </w:pPr>
      <w:r>
        <w:t>9. Финансовый план</w:t>
      </w:r>
    </w:p>
    <w:p>
      <w:pPr>
        <w:jc w:val="both"/>
      </w:pPr>
      <w:r>
        <w:t xml:space="preserve">Полный расчёт — в документе </w:t>
      </w:r>
      <w:r>
        <w:rPr>
          <w:rFonts w:ascii="Consolas" w:hAnsi="Consolas"/>
          <w:sz w:val="18"/>
        </w:rPr>
        <w:t>Финансовая_модель_ЦП_РСФСР.md</w:t>
      </w:r>
      <w:r>
        <w:t xml:space="preserve"> и сопроводительной записке </w:t>
      </w:r>
      <w:r>
        <w:rPr>
          <w:rFonts w:ascii="Consolas" w:hAnsi="Consolas"/>
          <w:sz w:val="18"/>
        </w:rPr>
        <w:t>Финмодель_допущения_и_расчёты.md</w:t>
      </w:r>
      <w:r>
        <w:t>.</w:t>
      </w:r>
    </w:p>
    <w:p>
      <w:pPr>
        <w:pStyle w:val="Heading3"/>
      </w:pPr>
      <w:r>
        <w:t>9.1. Краткий резюме базового сценария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Стоимость бизнеса @ ставке 29,58% (с терминальной стоимостью, g=4%)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63,0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том числе дисконтированные потоки 10 лет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39,0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 том числе дисконтированная терминальная стоимость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24,0 млрд ₽ (38%)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простая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2,73 года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Окупаемость дисконтированная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3,05 года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Стартовый раунд (запрос)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1,8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Пиковая потребность в финансировании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1,70 млрд ₽ (конец 2028)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 2031 (год 5)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39,0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Выручка 2036 (год 10)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142,6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EBITDA 2036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107,1 млрд ₽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Маржа EBITDA 2036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75,1%</w:t>
            </w:r>
          </w:p>
        </w:tc>
      </w:tr>
    </w:tbl>
    <w:p/>
    <w:p>
      <w:pPr>
        <w:pStyle w:val="Heading3"/>
      </w:pPr>
      <w:r>
        <w:t>9.2. Сценарии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Сценарий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Доля рынка год 10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Вес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Стоимость бизнеса, млрд 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Окупаемость, лет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Консервативный (только 259-ФЗ)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7%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20,1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3,94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Базовый</w:t>
            </w:r>
            <w:r>
              <w:rPr>
                <w:sz w:val="17"/>
              </w:rPr>
              <w:t xml:space="preserve"> (пилот 2028–2029)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18%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55%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63,0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2,73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Оптимистичный (пакет нормативных актов принят)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90,2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2,38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Ожидаемое значение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64,7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</w:tbl>
    <w:p/>
    <w:p>
      <w:pPr>
        <w:jc w:val="both"/>
      </w:pPr>
      <w:r>
        <w:t>Полный ряд денежных потоков построен для каждого сценария; сценарии различаются только целевой долей рынка на десятый год.</w:t>
      </w:r>
    </w:p>
    <w:p>
      <w:pPr>
        <w:jc w:val="both"/>
      </w:pPr>
      <w:r>
        <w:rPr>
          <w:b/>
        </w:rPr>
        <w:t>О внутренней норме доходности.</w:t>
      </w:r>
      <w:r>
        <w:t xml:space="preserve"> На потоках проекта она составляет 182% в базовом сценарии. Это не преимущество проекта, а признак того, что модель не отражает полной стоимости входа на рынок: собственных средств оператора информационной системы, резервов, стоимости привлечения залогодателей. В переговорах следует опираться на стоимость бизнеса и на расчёт для инвестора.</w:t>
      </w:r>
    </w:p>
    <w:p>
      <w:pPr>
        <w:jc w:val="both"/>
      </w:pPr>
      <w:r>
        <w:rPr>
          <w:b/>
        </w:rPr>
        <w:t>Расчёт для инвестора.</w:t>
      </w:r>
      <w:r>
        <w:t xml:space="preserve"> При расчётной стоимости входа $248 млн и раунде $15 млн доля инвестора составляет 5,70%; при выходе в 2033 году поступления — 20,5 млрд ₽, кратность возврата 19,1×, внутренняя норма доходности инвестора 52,4%. Расчёт предполагает полное выполнение плана и потому является верхней границей. Сама стоимость входа требует решения собственника: разброс между подходами оценки двенадцатикратный, и подходы для ранней стадии дают $20–35 млн против $352 млн по доходному подходу.</w:t>
      </w:r>
    </w:p>
    <w:p>
      <w:pPr>
        <w:jc w:val="both"/>
      </w:pPr>
      <w:r>
        <w:rPr>
          <w:b/>
        </w:rPr>
        <w:t>Задержка запуска — главный риск стоимости.</w:t>
      </w:r>
      <w:r>
        <w:t xml:space="preserve"> Сдвиг первого выпуска на год снижает стоимость бизнеса с 63,0 до 46,4 млрд ₽ и поднимает потребность в финансировании с 1,70 до 3,44 млрд ₽; сдвиг на два года — до 32,5 млрд ₽ и 5,53 млрд ₽ соответственно.</w:t>
      </w:r>
    </w:p>
    <w:p>
      <w:pPr>
        <w:pStyle w:val="Heading3"/>
      </w:pPr>
      <w:r>
        <w:t>9.3. Потребность в финансировании и использование средств</w:t>
      </w:r>
    </w:p>
    <w:p>
      <w:pPr>
        <w:jc w:val="both"/>
      </w:pPr>
      <w:r>
        <w:t>Стартовая потребность — 1,8 млрд ₽ на 24 месяца (2027–2028). Расчётная пиковая потребность — 1 701 млн ₽; остальное — резерв.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Направление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млн 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Доля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Капитальные вложения (платформа, центры обработки данных, лицензии)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720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40,0%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Операционный дефицит 2027–2028 (расходы за вычетом выручки)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915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50,8%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Оборотный капитал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3,6%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Резерв на непредвиденное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5,6%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1 800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100%</w:t>
            </w:r>
          </w:p>
        </w:tc>
      </w:tr>
    </w:tbl>
    <w:p/>
    <w:p>
      <w:pPr>
        <w:jc w:val="both"/>
      </w:pPr>
      <w:r>
        <w:t>Структура источников:</w:t>
      </w:r>
    </w:p>
    <w:p>
      <w:pPr>
        <w:pStyle w:val="ListBullet"/>
      </w:pPr>
      <w:r>
        <w:t>Акционерный капитал от стратегического инвестора и/или института развития — 70-100%.</w:t>
      </w:r>
    </w:p>
    <w:p>
      <w:pPr>
        <w:pStyle w:val="ListBullet"/>
      </w:pPr>
      <w:r>
        <w:t>Долговое финансирование — 0-30% (после подтверждения регуляторного статуса).</w:t>
      </w:r>
    </w:p>
    <w:p>
      <w:pPr>
        <w:jc w:val="both"/>
      </w:pPr>
      <w:r>
        <w:t>При задержке запуска на год потребность возрастает до 3,44 млрд ₽ — это первое, что следует проверять при контроле исполнения плана.</w:t>
      </w:r>
    </w:p>
    <w:p>
      <w:pPr>
        <w:pStyle w:val="Heading3"/>
      </w:pPr>
      <w:r>
        <w:t>9.4. Exit-стратегия для инвесторов</w:t>
      </w:r>
    </w:p>
    <w:p>
      <w:pPr>
        <w:jc w:val="both"/>
      </w:pPr>
      <w:r>
        <w:t>Варианты на горизонте 5-10 лет:</w:t>
      </w:r>
    </w:p>
    <w:p>
      <w:pPr>
        <w:pStyle w:val="ListNumber"/>
      </w:pPr>
      <w:r>
        <w:rPr>
          <w:b/>
        </w:rPr>
        <w:t>IPO</w:t>
      </w:r>
      <w:r>
        <w:t xml:space="preserve"> — листинг на Московской бирже после выхода на устойчивую прибыль (потенциально с 2032-2033 года).</w:t>
      </w:r>
    </w:p>
    <w:p>
      <w:pPr>
        <w:pStyle w:val="ListNumber"/>
      </w:pPr>
      <w:r>
        <w:rPr>
          <w:b/>
        </w:rPr>
        <w:t>Стратегическая продажа</w:t>
      </w:r>
      <w:r>
        <w:t xml:space="preserve"> — приобретение пакета крупной финансовой группой или госкорпорацией.</w:t>
      </w:r>
    </w:p>
    <w:p>
      <w:pPr>
        <w:pStyle w:val="ListNumber"/>
      </w:pPr>
      <w:r>
        <w:rPr>
          <w:b/>
        </w:rPr>
        <w:t>Buy-back</w:t>
      </w:r>
      <w:r>
        <w:t xml:space="preserve"> — выкуп доли инвестора компанией из дивидендного потока.</w:t>
      </w:r>
    </w:p>
    <w:p>
      <w:pPr>
        <w:pStyle w:val="ListNumber"/>
      </w:pPr>
      <w:r>
        <w:rPr>
          <w:b/>
        </w:rPr>
        <w:t>Дивидендная стратегия</w:t>
      </w:r>
      <w:r>
        <w:t xml:space="preserve"> — выплата 30-50% чистой прибыли с 2030 года, бессрочное удержание акций (для стратегических инвесторов).</w:t>
      </w:r>
    </w:p>
    <w:p>
      <w:pPr>
        <w:pStyle w:val="Heading2"/>
      </w:pPr>
      <w:r>
        <w:t>10. Анализ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Категория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Описание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Правовой Stage 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Препятствия согласования правил оператора по ст. 6 ФЗ № 259-ФЗ или критерия Указания ЦБ № 4336-У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Технологическое партнёрство с действующим оператором информационной системы выпуска ЦФА по 779-П: лицензия не передаётся, ЦП РСФСР работает как front-end / агент. Согласования с ЦБ касаются только правил информационной системы партнёра, не лицензионного перечня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Правовой Stage 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Пакет 4 ФЗ-поправок (86-ФЗ, 259-ФЗ, БК РФ, ГК РФ) не принимается на горизонте 2029+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 (только для Stage 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Stage 2 не входит в ближний инвестиционный roadmap; реализуется после положительного track-record Stage 1 ≥ 12 мес. и межведомственной позиции Минэк / Минфин / ВЭБ.РФ / Госдума. Stage 1 защитим без Stage 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Регуляторный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Препятствия включения технологического партнёра в реестр операторов 779-П или приостановление лицензии партнёра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Множественный пул потенциальных партнёров (Атомайз, Сбер ЦФА, Альфа ЦФА, Мастерчейн); подача собственной заявки в реестр 779-П как параллельный трек после T+12 мес. wedge-pilot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Рыночный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Низкое проникновение — собственники не доверяют новому инструменту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Старт с госпрограмм и крупных собственников (B2B/B2G) для формирования референсных кейсов; широкая образовательная кампания; интеграция в банковские приложения для снижения порога входа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Технологический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Сбой платформы, потеря данных, кибератака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Two-active ЦОД с гео-репликацией; ежедневный бэкап с тестированием восстановления; сертифицированные ФСБ криптомодули; постоянный пентест; SOC 24/7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Операционный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Ошибки оценки залога, споры с собственниками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Умеренный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Многоуровневая оценка (массовая + камеральная + независимый оценщик), страхование ответственности, прозрачные регламенты, досудебный арбитраж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Репутационный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Громкий инцидент (потеря средств клиента, корруп. скандал)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Критический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Жёсткие комплаенс-процедуры, антикоррупционная политика, прозрачная отчётность, регулярный внешний аудит, PR-стратегия кризисных коммуникаций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Макроэкономический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Резкий рост ключевой ставки, обвал рынка недвижимости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Гибкая модель тарификации (привязка к КС), консервативные LTV-нормативы (50% базовый, до 70% максимум), стресс-тесты квартально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Конкурентный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Появление второго оператора в той же категории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 (до 5 лет), Средняя (после)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Умеренный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Глубокая интеграция с регулятором и партнёрами как естественный moat; быстрое масштабирование в первые 3-5 лет; защита ноу-хау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Кадровый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Дефицит квалифицированных специалистов в финтехе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Умеренный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Опционная программа, конкурентная компенсация, корпоративная R&amp;D-программа с ведущими вузами, удалённая работа с регионами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Каннибализация цифровым рублём (340-ФЗ)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ЦБ запускает целевую программу эмиссии цифрового рубля без посредника, либо интегрирует залоговый-ЦФА в платформу цифрового рубля через ст. 30.6 86-ФЗ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Средняя (15–35%)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Три сценария mitigation: (а) техпартнёрство с ЦБ через экспериментальный правовой режим 258-ФЗ; (б) позиционирование ЦП РСФСР как official front-end через консолидированную межведомственную позицию Минэк/Минфин/ВЭБ.РФ; (в) специализированная надстройка для целевых инфраструктурных ЦФА под залог — категория, которую платформа цифрового рубля как универсальный расчётный инструмент не покрывает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Копирование регулятором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Государство реализует ту же логику через Атомайз / ВЭБ.РФ / Сбер напрямую, без посредника ЦП РСФСР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Низкая-средняя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Существенный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Четыре защитных контура: (1) network effects — пул залогодателей + банк-партнёр + страховщик + оценщик + регион формирует двусторонний эффект Метcalfe; (2) IP-portfolio — депонирование №4011265 + Роспатент-регистрация программы для ЭВМ (ст. 1262 ГК) + ноу-хау (ст. 1465 ГК) + товарный знак (ст. 1477 ГК) + патент на способ мены ЦФА (гл. 72 ГК, заявка); (3) first-mover advantage 24–30 мес. в категории целевого инфраструктурного ЦФА с интеграцией ВЭБ.РФ ФПФ; (4) договорный moat — LoI / MSA с действующим оператором 779-П на 3 года в категории «целевые инфраструктурные ЦФА под залог»</w:t>
            </w:r>
          </w:p>
        </w:tc>
      </w:tr>
    </w:tbl>
    <w:p/>
    <w:p>
      <w:pPr>
        <w:jc w:val="both"/>
      </w:pPr>
      <w:r>
        <w:t xml:space="preserve">Карта рисков пересматривается ежеквартально. </w:t>
      </w:r>
      <w:r>
        <w:rPr>
          <w:b/>
        </w:rPr>
        <w:t>Stage 1 защитим без поправок ФЗ.</w:t>
      </w:r>
      <w:r>
        <w:t xml:space="preserve"> Главный регуляторный риск Stage 2 (принятие пакета 4 ФЗ) — детально разобран в документе «Юридический фундамент» § 8.2.</w:t>
      </w:r>
    </w:p>
    <w:p>
      <w:pPr>
        <w:pStyle w:val="Heading2"/>
      </w:pPr>
      <w:r>
        <w:t>11. Команда</w:t>
      </w:r>
    </w:p>
    <w:p>
      <w:pPr>
        <w:pStyle w:val="Heading3"/>
      </w:pPr>
      <w:r>
        <w:t>11.1. Автор концепта и инициатор проекта</w:t>
      </w:r>
    </w:p>
    <w:p>
      <w:pPr>
        <w:jc w:val="both"/>
      </w:pPr>
      <w:r>
        <w:rPr>
          <w:b/>
        </w:rPr>
        <w:t>Кагиров Абдул-Хаким Ахмадович</w:t>
      </w:r>
      <w:r>
        <w:t xml:space="preserve"> — автор и правообладатель ноу-хау ЦП РСФСР (свидетельство о депонировании №4011265 от 19.12.2024). Концепция платформы, описанная в настоящем документе, разработана им и защищена в установленном порядке.</w:t>
      </w:r>
    </w:p>
    <w:p>
      <w:pPr>
        <w:pStyle w:val="Heading3"/>
      </w:pPr>
      <w:r>
        <w:t>11.2. Формирование исполнительной команды</w:t>
      </w:r>
    </w:p>
    <w:p>
      <w:pPr>
        <w:jc w:val="both"/>
      </w:pPr>
      <w:r>
        <w:t>На этапе старта (2027) формируется ядро команды:</w:t>
      </w:r>
    </w:p>
    <w:p>
      <w:pPr>
        <w:pStyle w:val="ListBullet"/>
      </w:pPr>
      <w:r>
        <w:t>CEO — управляющий партнёр с опытом запуска инфраструктурных финтех-проектов.</w:t>
      </w:r>
    </w:p>
    <w:p>
      <w:pPr>
        <w:pStyle w:val="ListBullet"/>
      </w:pPr>
      <w:r>
        <w:t>CTO — технический директор с опытом построения банковских платформ.</w:t>
      </w:r>
    </w:p>
    <w:p>
      <w:pPr>
        <w:pStyle w:val="ListBullet"/>
      </w:pPr>
      <w:r>
        <w:t>CCO — комплаенс-офицер с опытом работы в надзорных подразделениях ЦБ РФ.</w:t>
      </w:r>
    </w:p>
    <w:p>
      <w:pPr>
        <w:pStyle w:val="ListBullet"/>
      </w:pPr>
      <w:r>
        <w:t>CFO — финансовый директор уровня крупной финкорпорации.</w:t>
      </w:r>
    </w:p>
    <w:p>
      <w:pPr>
        <w:pStyle w:val="ListBullet"/>
      </w:pPr>
      <w:r>
        <w:t>Совет директоров — 5-9 чел., с обязательным присутствием независимых директоров и представителей ключевых акционеров.</w:t>
      </w:r>
    </w:p>
    <w:p>
      <w:pPr>
        <w:jc w:val="both"/>
      </w:pPr>
      <w:r>
        <w:t>Конкретные фамилии не приводятся: подбор команды — задача стартового этапа, формируется параллельно с привлечением стратегического инвестора. Все назначения проходят согласование с регулятором (ЦБ РФ предъявляет требования к деловой репутации и квалификации руководителей операторов).</w:t>
      </w:r>
    </w:p>
    <w:p>
      <w:pPr>
        <w:pStyle w:val="Heading3"/>
      </w:pPr>
      <w:r>
        <w:t>11.3. Защита правообладателя ноу-хау</w:t>
      </w:r>
    </w:p>
    <w:p>
      <w:pPr>
        <w:jc w:val="both"/>
      </w:pPr>
      <w:r>
        <w:t xml:space="preserve">После внесения ноу-хау автора в уставный капитал АО-оператора фиксируются защитные механизмы (детально — </w:t>
      </w:r>
      <w:r>
        <w:rPr>
          <w:rFonts w:ascii="Consolas" w:hAnsi="Consolas"/>
          <w:sz w:val="18"/>
        </w:rPr>
        <w:t>_Мастер/Концепт.md</w:t>
      </w:r>
      <w:r>
        <w:t xml:space="preserve"> § 1-quater):</w:t>
      </w:r>
    </w:p>
    <w:p>
      <w:pPr>
        <w:pStyle w:val="ListNumber"/>
      </w:pPr>
      <w:r>
        <w:rPr>
          <w:b/>
        </w:rPr>
        <w:t>Неотъемлемая позиция автора Кагирова А.А.А. в Совете директоров</w:t>
      </w:r>
      <w:r>
        <w:t xml:space="preserve"> до Series B (≥ 2031), независимо от размера доли инвестора.</w:t>
      </w:r>
    </w:p>
    <w:p>
      <w:pPr>
        <w:pStyle w:val="ListNumber"/>
      </w:pPr>
      <w:r>
        <w:rPr>
          <w:b/>
        </w:rPr>
        <w:t>Защитные ковенанты в Shareholders Agreement:</w:t>
      </w:r>
      <w:r>
        <w:t xml:space="preserve"> drag-along — только с участием правообладателя; tag-along — 100% защита от forced exit; anti-dilution full ratchet до Series B; запрет на отчуждение прав на ноу-хау без согласия правообладателя; vesting институционального акционера 4 года с cliff 1 год.</w:t>
      </w:r>
    </w:p>
    <w:p>
      <w:pPr>
        <w:pStyle w:val="ListNumber"/>
      </w:pPr>
      <w:r>
        <w:rPr>
          <w:b/>
        </w:rPr>
        <w:t>Реверс ноу-хау</w:t>
      </w:r>
      <w:r>
        <w:t xml:space="preserve"> при ликвидации / банкротстве / враждебном выкупе: исключительные права возвращаются автору безусловно.</w:t>
      </w:r>
    </w:p>
    <w:p>
      <w:pPr>
        <w:pStyle w:val="ListNumber"/>
      </w:pPr>
      <w:r>
        <w:rPr>
          <w:b/>
        </w:rPr>
        <w:t>Royalty-стрим</w:t>
      </w:r>
      <w:r>
        <w:t xml:space="preserve"> — 2% от выручки оператора в адрес правообладателя как лицензиара (наряду с дивидендами по акциям).</w:t>
      </w:r>
    </w:p>
    <w:p>
      <w:pPr>
        <w:pStyle w:val="Heading3"/>
      </w:pPr>
      <w:r>
        <w:t>11.4. EBITDA-маржа: bridge 2030 → 2034</w:t>
      </w:r>
    </w:p>
    <w:p>
      <w:pPr>
        <w:jc w:val="both"/>
      </w:pPr>
      <w:r>
        <w:t xml:space="preserve">Траектория маржи EBITDA в модели: 2029 = 54,6%, 2030 = 67,5%, 2031 = 72,3%, 2033 = 74,1%, 2036 = 75,1%. Рост объясняется структурой доходов и расходов: сервисная комиссия берётся с накопленного стека ЦФА (к 2036 году ≈ 25,9 трлн ₽) и почти не требует дополнительных затрат на обслуживание, тогда как расходы в модели состоят из базовой части с индексацией и переменной части в 22% выручки. Ориентиры сопоставимых компаний: инфраструктурные биржевые и депозитарные операторы 65–75%, международные платёжные системы 60–70%. Расчёт — </w:t>
      </w:r>
      <w:r>
        <w:rPr>
          <w:rFonts w:ascii="Consolas" w:hAnsi="Consolas"/>
          <w:sz w:val="18"/>
        </w:rPr>
        <w:t>03_Финансовая_модель/Модель/Выгрузка/04_pnl.csv</w:t>
      </w:r>
      <w:r>
        <w:t>.</w:t>
      </w:r>
    </w:p>
    <w:p>
      <w:pPr>
        <w:pStyle w:val="Heading2"/>
      </w:pPr>
      <w:r>
        <w:t>12. Социально-экономический эффект</w:t>
      </w:r>
    </w:p>
    <w:p>
      <w:pPr>
        <w:pStyle w:val="Heading3"/>
      </w:pPr>
      <w:r>
        <w:t>12.1. Влияние на ВВП</w:t>
      </w:r>
    </w:p>
    <w:p>
      <w:pPr>
        <w:jc w:val="both"/>
      </w:pPr>
      <w:r>
        <w:t>Объём финансирования, привлечённого через ЦП РСФСР, в базовом сценарии:</w:t>
      </w:r>
    </w:p>
    <w:p>
      <w:pPr>
        <w:pStyle w:val="ListBullet"/>
      </w:pPr>
      <w:r>
        <w:t>2028: 112 млрд ₽ выпуска → инфраструктурное фондирование через Фабрику ВЭБ.РФ + Федеральное казначейство (Stage 1) → реинвестируется в нацпроекты.</w:t>
      </w:r>
    </w:p>
    <w:p>
      <w:pPr>
        <w:pStyle w:val="ListBullet"/>
      </w:pPr>
      <w:r>
        <w:t>2031: 2,78 трлн ₽ годового выпуска. На горизонте Stage 2 (после принятия пакета 4 ФЗ-поправок) — переход на модель целевой обеспеченной эмиссии Банка России.</w:t>
      </w:r>
    </w:p>
    <w:p>
      <w:pPr>
        <w:pStyle w:val="ListBullet"/>
      </w:pPr>
      <w:r>
        <w:t>2036: 6,93 трлн ₽ годового выпуска.</w:t>
      </w:r>
    </w:p>
    <w:p>
      <w:pPr>
        <w:jc w:val="both"/>
      </w:pPr>
      <w:r>
        <w:t>При мультипликаторе инфраструктурных инвестиций 1,8-2,3 (стандартный диапазон для российской экономики; Минэк РФ применяет 1,9-2,1 для оценки эффектов нацпроектов) ожидаемый вклад в ВВП от инвестиций ЦП РСФСР:</w:t>
      </w:r>
    </w:p>
    <w:p>
      <w:pPr>
        <w:pStyle w:val="ListBullet"/>
      </w:pPr>
      <w:r>
        <w:t>2031: 5,0-6,4 трлн ₽ дополнительной экономической активности.</w:t>
      </w:r>
    </w:p>
    <w:p>
      <w:pPr>
        <w:pStyle w:val="ListBullet"/>
      </w:pPr>
      <w:r>
        <w:t>2036: 12,5-15,9 трлн ₽ дополнительной экономической активности.</w:t>
      </w:r>
    </w:p>
    <w:p>
      <w:pPr>
        <w:jc w:val="both"/>
      </w:pPr>
      <w:r>
        <w:t>Порядок величины — единицы процентов номинального ВВП РФ. Точная доля здесь не приводится: она зависит от прогноза ВВП на 2036 год, которого в модели нет.</w:t>
      </w:r>
    </w:p>
    <w:p>
      <w:pPr>
        <w:pStyle w:val="Heading3"/>
      </w:pPr>
      <w:r>
        <w:t>12.2. Влияние на нацпроекты</w:t>
      </w:r>
    </w:p>
    <w:p>
      <w:pPr>
        <w:jc w:val="both"/>
      </w:pPr>
      <w:r>
        <w:t>ЦП РСФСР обеспечивает целевое финансирование национальных проектов без увеличения бюджетной нагрузки. Сокращение очерёдности финансирования за счёт мобилизации частной залоговой массы — ключевой эффект, прямо указанный в 6-м преимуществе концепта автора.</w:t>
      </w:r>
    </w:p>
    <w:p>
      <w:pPr>
        <w:jc w:val="both"/>
      </w:pPr>
      <w:r>
        <w:t>Потенциальные целевые направления (определяются профильными ФЗ и постановлениями Правительства):</w:t>
      </w:r>
    </w:p>
    <w:p>
      <w:pPr>
        <w:pStyle w:val="ListBullet"/>
      </w:pPr>
      <w:r>
        <w:t>Тяжёлая промышленность и машиностроение.</w:t>
      </w:r>
    </w:p>
    <w:p>
      <w:pPr>
        <w:pStyle w:val="ListBullet"/>
      </w:pPr>
      <w:r>
        <w:t>Импортозамещение в критических отраслях.</w:t>
      </w:r>
    </w:p>
    <w:p>
      <w:pPr>
        <w:pStyle w:val="ListBullet"/>
      </w:pPr>
      <w:r>
        <w:t>Здравоохранение (модернизация инфраструктуры, оборудование).</w:t>
      </w:r>
    </w:p>
    <w:p>
      <w:pPr>
        <w:pStyle w:val="ListBullet"/>
      </w:pPr>
      <w:r>
        <w:t>Наука и образование.</w:t>
      </w:r>
    </w:p>
    <w:p>
      <w:pPr>
        <w:pStyle w:val="ListBullet"/>
      </w:pPr>
      <w:r>
        <w:t>Транспортная инфраструктура (мосты, дороги, логистические хабы).</w:t>
      </w:r>
    </w:p>
    <w:p>
      <w:pPr>
        <w:pStyle w:val="ListBullet"/>
      </w:pPr>
      <w:r>
        <w:t>Энергетика и ЖКХ.</w:t>
      </w:r>
    </w:p>
    <w:p>
      <w:pPr>
        <w:pStyle w:val="Heading3"/>
      </w:pPr>
      <w:r>
        <w:t>12.3. Влияние на «спящие» активы</w:t>
      </w:r>
    </w:p>
    <w:p>
      <w:pPr>
        <w:jc w:val="both"/>
      </w:pPr>
      <w:r>
        <w:t>По 4-му преимуществу концепта — привлечение «спящих» частных активов в экономический оборот.</w:t>
      </w:r>
    </w:p>
    <w:p>
      <w:pPr>
        <w:jc w:val="both"/>
      </w:pPr>
      <w:r>
        <w:t>Сейчас порядка 80% жилой и значительная доля коммерческой недвижимости в РФ не используется как залоговый инструмент по объективным причинам (бюрократия оформления, длительность процедур, отсутствие подходящего продукта). ЦП РСФСР снимает эти барьеры за счёт автоматизации и нового продуктового контура. К году 10 годовой выпуск достигает 18% залоговой ёмкости (6,93 трлн ₽), а обращаемый стек — 25,9 трлн ₽. При среднем выпуске 10 млн ₽ на клиента это соответствует мобилизации активов порядка 2-3 млн собственников.</w:t>
      </w:r>
    </w:p>
    <w:p>
      <w:pPr>
        <w:pStyle w:val="Heading3"/>
      </w:pPr>
      <w:r>
        <w:t>12.4. Дополнительный доход собственников</w:t>
      </w:r>
    </w:p>
    <w:p>
      <w:pPr>
        <w:jc w:val="both"/>
      </w:pPr>
      <w:r>
        <w:t>По 9-му пункту концепта — финансовое вознаграждение собственнику залогового имущества.</w:t>
      </w:r>
    </w:p>
    <w:p>
      <w:pPr>
        <w:jc w:val="both"/>
      </w:pPr>
      <w:r>
        <w:t>При модели вознаграждения собственника, например, 1-2% годовых от номинала ЦФА (точная ставка определяется регуляторными нормативами и условиями договора с оператором), совокупная выплата собственникам к году 10:</w:t>
      </w:r>
    </w:p>
    <w:p>
      <w:pPr>
        <w:pStyle w:val="ListBullet"/>
      </w:pPr>
      <w:r>
        <w:t>Объём стека ЦФА: 25,9 трлн ₽.</w:t>
      </w:r>
    </w:p>
    <w:p>
      <w:pPr>
        <w:pStyle w:val="ListBullet"/>
      </w:pPr>
      <w:r>
        <w:t>При ставке 1% — 259 млрд ₽ дополнительных доходов собственников ежегодно.</w:t>
      </w:r>
    </w:p>
    <w:p>
      <w:pPr>
        <w:pStyle w:val="ListBullet"/>
      </w:pPr>
      <w:r>
        <w:t>При ставке 2% — 518 млрд ₽ ежегодно.</w:t>
      </w:r>
    </w:p>
    <w:p>
      <w:pPr>
        <w:jc w:val="both"/>
      </w:pPr>
      <w:r>
        <w:t>Это сопоставимо с бюджетом нескольких регионов РФ и обеспечивает значимый «вторичный» вклад в потребительский спрос и налоговую базу.</w:t>
      </w:r>
    </w:p>
    <w:p>
      <w:pPr>
        <w:pStyle w:val="Heading3"/>
      </w:pPr>
      <w:r>
        <w:t>12.5. Влияние на финансовую систему</w:t>
      </w:r>
    </w:p>
    <w:p>
      <w:pPr>
        <w:pStyle w:val="ListBullet"/>
      </w:pPr>
      <w:r>
        <w:t>Расширение базы инструментов рынка ценных бумаг (новый класс надёжных активов).</w:t>
      </w:r>
    </w:p>
    <w:p>
      <w:pPr>
        <w:pStyle w:val="ListBullet"/>
      </w:pPr>
      <w:r>
        <w:t>Возможности диверсификации портфелей пенсионных и страховых резервов.</w:t>
      </w:r>
    </w:p>
    <w:p>
      <w:pPr>
        <w:pStyle w:val="ListBullet"/>
      </w:pPr>
      <w:r>
        <w:t>Развитие смежных сервисов (оценка, страхование, юр. сопровождение) — дополнительные рабочие места в финансовом секторе.</w:t>
      </w:r>
    </w:p>
    <w:p>
      <w:pPr>
        <w:pStyle w:val="ListBullet"/>
      </w:pPr>
      <w:r>
        <w:t>Импульс к развитию российского финтеха и регуляторных технологий.</w:t>
      </w:r>
    </w:p>
    <w:p>
      <w:pPr>
        <w:pStyle w:val="Heading3"/>
      </w:pPr>
      <w:r>
        <w:t>12.6. Инфляционный режим</w:t>
      </w:r>
    </w:p>
    <w:p>
      <w:pPr>
        <w:jc w:val="both"/>
      </w:pPr>
      <w:r>
        <w:t>По 10-му пункту концепта — эмиссия идёт под полностью обеспеченные активы. Это принципиально отличается от «вертолётной» эмиссии: каждый выпущенный рубль обеспечен реальным имуществом, оценённым с дисконтом. Инфляционный эффект — нейтральный или дезинфляционный (рост предложения товаров и услуг через нацпроекты компенсирует увеличение денежной массы).</w:t>
      </w:r>
    </w:p>
    <w:p>
      <w:pPr>
        <w:pStyle w:val="Heading2"/>
      </w:pPr>
      <w:r>
        <w:t>13. GTM-sequencing и Champion-map (T+0…T+180)</w:t>
      </w:r>
    </w:p>
    <w:p>
      <w:pPr>
        <w:jc w:val="both"/>
      </w:pPr>
      <w:r>
        <w:t xml:space="preserve">Wedge-логика проекта требует обхода Банка России на первом шаге: ЦБ — последняя инстанция Stage 1 (включение оператора в реестр 779-П). Ключевые согласования проводятся через Минэк → Минфин → ВЭБ.РФ → Госдума → регион → оператор 779-П. Карта согласований (синхронизирован с </w:t>
      </w:r>
      <w:r>
        <w:rPr>
          <w:rFonts w:ascii="Consolas" w:hAnsi="Consolas"/>
          <w:sz w:val="18"/>
        </w:rPr>
        <w:t>_Мастер/Концепт.md § 1-ter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Этап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Лицо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Орган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Цель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Артефакт-обёртка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Минэк, министр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Wedge-pilot Stage 1 как инструмент ускорения нацпроектов; named sponsor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Бизнес-план + Pitch_deck + Wedge_pilot-light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Аппарат Правительства РФ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профильного советника по цифровой экономике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Архитектурный концепт; межведомственная рабочая группа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 § 1-bis + Юр.фундамент § 8.1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T+30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Действующий оператор ИС ЦФА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рекомендованного представителя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LoI о технологическом партнёрстве: оператор сделки 779-П + ЦП РСФСР front-end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Pre-meeting_briefs/01_LoI_оператор_779П.md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Минфин, замминистра (долг)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Внебюджетный канал; кейс снижения давления на ОФЗ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Финмодель v3 + Бизнес-план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Минфин, замминистра (налоги)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Налоговая позиция по ЦФА (ст. 34.2 НК; пп. 12.2 п. 2 ст. 149 НК)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Юр.фундамент § 5 + запрос ст. 34.2 НК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ВЭБ.РФ ФПФ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рекомендованного представителя Минэка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Consultative letter по ПП РФ № 158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Pre-meeting_briefs/02_Consultative_letter_ВЭБ.РФ.md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T+90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банк-партнёр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рекомендованного представителя Минэка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MoU о роли расчётного банка пилота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Pre-meeting_briefs/04_MoU_GPB_ПСБ.md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Республика Татарстан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MoU о муниципальном пилоте: 50–100 объектов, ₽ 5–10 млрд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Pre-meeting_briefs/03_MoU_Татарстан.md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Тюменская обл. (резерв)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то же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профильный представитель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Госдума, Комитет по фин. рынку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Консультация по 259-ФЗ для Stage 1; horizon Stage 2 — пакет 4 ФЗ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Доклад для ЦБ + Концепт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T+180+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Банк России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через консолидированную межведомственную позицию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Реестр операторов ИС ЦФА по 779-П (Stage 1)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Юр.фундамент § 8.1</w:t>
            </w:r>
          </w:p>
        </w:tc>
      </w:tr>
    </w:tbl>
    <w:p/>
    <w:p>
      <w:pPr>
        <w:jc w:val="both"/>
      </w:pPr>
      <w:r>
        <w:rPr>
          <w:b/>
        </w:rPr>
        <w:t>Success metrics для перехода Stage 1 → Stage 2:</w:t>
      </w:r>
      <w:r>
        <w:t xml:space="preserve"> доходность ≥ 18% годовых для собственников активов; ≥ 8 регионов в системе; AUM ≥ ₽ 50 млрд к концу 2027; нет инцидентов класса 779-П § 9 (защита прав инвесторов).</w:t>
      </w:r>
    </w:p>
    <w:p>
      <w:pPr>
        <w:jc w:val="both"/>
      </w:pPr>
      <w:r>
        <w:t xml:space="preserve">Pre-meeting brief'ы по каждому champion'у — в </w:t>
      </w:r>
      <w:r>
        <w:rPr>
          <w:rFonts w:ascii="Consolas" w:hAnsi="Consolas"/>
          <w:sz w:val="18"/>
        </w:rPr>
        <w:t>02_Юридический_фундамент/Pre-meeting_briefs/</w:t>
      </w:r>
      <w:r>
        <w:t xml:space="preserve"> (4 драфта готовы).</w:t>
      </w:r>
    </w:p>
    <w:p>
      <w:pPr>
        <w:pStyle w:val="Heading2"/>
      </w:pPr>
      <w:r>
        <w:t>14.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Размещение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Финансовая модель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03_Финансовая_модель/Финансовая_модель_ЦП_РСФСР.md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Пояснения к финмодели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03_Финансовая_модель/Финмодель_допущения_и_расчёты.md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Концепт автора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_Мастер/Концепт.md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Юридический фундамент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</w:t>
            </w:r>
            <w:r>
              <w:rPr>
                <w:sz w:val="17"/>
              </w:rPr>
              <w:t xml:space="preserve"> (отдельный документ)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Техническое решение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01_Техническая_документация/</w:t>
            </w:r>
            <w:r>
              <w:rPr>
                <w:sz w:val="17"/>
              </w:rPr>
              <w:t xml:space="preserve"> (отдельный документ)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Pre-meeting brief'ы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sz w:val="17"/>
              </w:rPr>
              <w:t>02_Юридический_фундамент/Pre-meeting_briefs/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Свидетельство о депонировании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№4011265 от 19.12.2024 (хранится у автора)</w:t>
            </w:r>
          </w:p>
        </w:tc>
      </w:tr>
    </w:tbl>
    <w:p/>
    <w:p>
      <w:pPr>
        <w:jc w:val="both"/>
      </w:pPr>
      <w:r>
        <w:rPr>
          <w:b/>
        </w:rPr>
        <w:t>Дата:</w:t>
      </w:r>
      <w:r>
        <w:t xml:space="preserve"> 24.05.2026 (refactor пост-Горизонт-II: добавлен § 13 GTM-sequencing). </w:t>
      </w:r>
      <w:r>
        <w:rPr>
          <w:b/>
        </w:rPr>
        <w:t>Источники:</w:t>
      </w:r>
      <w:r>
        <w:t xml:space="preserve"> концепция автора (Кагиров А.-Х.А., свид. №4011265 от 19.12.2024); 86-ФЗ, 259-ФЗ, НК РФ, основные направления ДКП Банка России; данные Росстата. Сторонние материалы не использовались.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