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Due Diligence отчёт</w:t>
      </w:r>
    </w:p>
    <w:p>
      <w:pPr>
        <w:pStyle w:val="Heading2"/>
      </w:pPr>
      <w:r>
        <w:t>Цифровая Платформа РСФСР</w:t>
      </w:r>
    </w:p>
    <w:p>
      <w:pPr>
        <w:jc w:val="both"/>
      </w:pPr>
      <w:r>
        <w:rPr>
          <w:b/>
        </w:rPr>
        <w:t>Стандарт работы:</w:t>
      </w:r>
      <w:r>
        <w:t xml:space="preserve"> методология Due Diligence уровня Большой Четвёрки (Deloitte / EY / KPMG / PwC). Документ подготовлен в формате внутреннего DD-отчёта для совета директоров / инвестора. </w:t>
      </w:r>
      <w:r>
        <w:rPr>
          <w:b/>
        </w:rPr>
        <w:t>Объект проверки:</w:t>
      </w:r>
      <w:r>
        <w:t xml:space="preserve"> проектная документация ЦП РСФСР; финансовая часть — по состоянию на 07.09.2026 (модель v5). </w:t>
      </w:r>
      <w:r>
        <w:rPr>
          <w:b/>
        </w:rPr>
        <w:t>Подход:</w:t>
      </w:r>
      <w:r>
        <w:t xml:space="preserve"> обзор по шести направлениям (Commercial / Legal / Financial / Technical / Operational / Tax &amp; Regulatory) + сводный заключительный раздел с честными красными флагами и рекомендациями.</w:t>
      </w:r>
    </w:p>
    <w:p>
      <w:pPr>
        <w:pStyle w:val="Heading2"/>
      </w:pPr>
      <w:r>
        <w:t>1. Executive Summary</w:t>
      </w:r>
    </w:p>
    <w:p>
      <w:pPr>
        <w:pStyle w:val="Heading3"/>
      </w:pPr>
      <w:r>
        <w:t>Структура DD</w:t>
      </w:r>
    </w:p>
    <w:p>
      <w:pPr>
        <w:jc w:val="both"/>
      </w:pPr>
      <w:r>
        <w:t>Отчёт охватывает шесть классических областей Due Diligence и одну дополнительную (ESG / устойчивое развитие), всего семь модулей. Каждый модуль завершается оценкой:</w:t>
      </w:r>
    </w:p>
    <w:p>
      <w:pPr>
        <w:pStyle w:val="ListBullet"/>
      </w:pPr>
      <w:r>
        <w:rPr>
          <w:b/>
        </w:rPr>
        <w:t>Green</w:t>
      </w:r>
      <w:r>
        <w:t xml:space="preserve"> — без существенных замечаний;</w:t>
      </w:r>
    </w:p>
    <w:p>
      <w:pPr>
        <w:pStyle w:val="ListBullet"/>
      </w:pPr>
      <w:r>
        <w:rPr>
          <w:b/>
        </w:rPr>
        <w:t>Amber</w:t>
      </w:r>
      <w:r>
        <w:t xml:space="preserve"> — замечания, требующие проработки до closing;</w:t>
      </w:r>
    </w:p>
    <w:p>
      <w:pPr>
        <w:pStyle w:val="ListBullet"/>
      </w:pPr>
      <w:r>
        <w:rPr>
          <w:b/>
        </w:rPr>
        <w:t>Red</w:t>
      </w:r>
      <w:r>
        <w:t xml:space="preserve"> — критические замечания, требующие устранения как условие сделки.</w:t>
      </w:r>
    </w:p>
    <w:p>
      <w:pPr>
        <w:pStyle w:val="Heading3"/>
      </w:pPr>
      <w:r>
        <w:t>Общая оценка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Модуль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Статус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1. Commercial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🟢 Green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2. Legal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3. Financial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🟢 Green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4. Technical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5. Operational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6. Tax &amp; Regulatory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7. ESG / Sustainability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🟢 Green</w:t>
            </w:r>
          </w:p>
        </w:tc>
      </w:tr>
    </w:tbl>
    <w:p/>
    <w:p>
      <w:pPr>
        <w:jc w:val="both"/>
      </w:pPr>
      <w:r>
        <w:rPr>
          <w:b/>
        </w:rPr>
        <w:t>Сводное заключение:</w:t>
      </w:r>
      <w:r>
        <w:t xml:space="preserve"> проект имеет высокую внутреннюю логику, защищённый IP, релевантную рыночную нишу и сильный социально-экономический эффект. Главный фактор риска — </w:t>
      </w:r>
      <w:r>
        <w:rPr>
          <w:b/>
        </w:rPr>
        <w:t>регуляторный (бинарность принятия поправок в 86-ФЗ и 259-ФЗ)</w:t>
      </w:r>
      <w:r>
        <w:t>. При устранении amber-замечаний (план понятен) проект может быть рекомендован к стартовому финансированию.</w:t>
      </w:r>
    </w:p>
    <w:p>
      <w:pPr>
        <w:pStyle w:val="Heading2"/>
      </w:pPr>
      <w:r>
        <w:t>2. Commercial Due Diligence</w:t>
      </w:r>
    </w:p>
    <w:p>
      <w:pPr>
        <w:pStyle w:val="Heading3"/>
      </w:pPr>
      <w:r>
        <w:t>2.1. Анализ продукта</w:t>
      </w:r>
    </w:p>
    <w:p>
      <w:pPr>
        <w:jc w:val="both"/>
      </w:pPr>
      <w:r>
        <w:t xml:space="preserve">ЦП РСФСР — front-end / агентская платформа выпуска ЦФА под залог имущества, работающая в двухстадийной архитектуре. </w:t>
      </w:r>
      <w:r>
        <w:rPr>
          <w:b/>
        </w:rPr>
        <w:t>Stage 1 (pilot-light 2026–2028):</w:t>
      </w:r>
      <w:r>
        <w:t xml:space="preserve"> размещения проводятся через технологическое партнёрство с действующим оператором информационной системы выпуска ЦФА по 779-П (действующий субъект реестра — лицензия 779-П индивидуальна и не передаётся); фондирование — через Фабрику проектного финансирования ВЭБ.РФ (ПП РФ № 158) и Федеральное казначейство в рамках Бюджетного кодекса. Дополнительная эмиссия Банка России в Stage 1 не предусмотрена; ЦБ — общий надзорный регулятор по ст. 4 ФЗ № 86-ФЗ. </w:t>
      </w:r>
      <w:r>
        <w:rPr>
          <w:b/>
        </w:rPr>
        <w:t>Stage 2 (горизонт 2029+):</w:t>
      </w:r>
      <w:r>
        <w:t xml:space="preserve"> расширение мандата к модели целевой обеспеченной эмиссии под пул залоговых ЦФА — defensible horizon, реализация после положительного track-record Stage 1 ≥ 12 мес. и принятия пакета 4 ФЗ-поправок. Аналогов с такой двухстадийной архитектурой в публичном поле не выявлено ни в РФ, ни на международных рынках.</w:t>
      </w:r>
    </w:p>
    <w:p>
      <w:pPr>
        <w:pStyle w:val="Heading3"/>
      </w:pPr>
      <w:r>
        <w:t>2.2. Анализ рынка</w:t>
      </w:r>
    </w:p>
    <w:p>
      <w:pPr>
        <w:pStyle w:val="ListBullet"/>
      </w:pPr>
      <w:r>
        <w:t xml:space="preserve">Совокупная стоимость недвижимости РФ — порядка </w:t>
      </w:r>
      <w:r>
        <w:rPr>
          <w:b/>
        </w:rPr>
        <w:t>507 трлн ₽</w:t>
      </w:r>
      <w:r>
        <w:t>.</w:t>
      </w:r>
    </w:p>
    <w:p>
      <w:pPr>
        <w:pStyle w:val="ListBullet"/>
      </w:pPr>
      <w:r>
        <w:t xml:space="preserve">Консервативная залоговая ёмкость — </w:t>
      </w:r>
      <w:r>
        <w:rPr>
          <w:b/>
        </w:rPr>
        <w:t>25,5 трлн ₽</w:t>
      </w:r>
      <w:r>
        <w:t>.</w:t>
      </w:r>
    </w:p>
    <w:p>
      <w:pPr>
        <w:pStyle w:val="ListBullet"/>
      </w:pPr>
      <w:r>
        <w:t>Целевой объём проникновения к году 10 — 18% залоговой ёмкости (годовой выпуск 6,93 трлн ₽, обращаемый стек 25,9 трлн ₽).</w:t>
      </w:r>
    </w:p>
    <w:p>
      <w:pPr>
        <w:pStyle w:val="ListBullet"/>
      </w:pPr>
      <w:r>
        <w:t>Конкурентов с аналогичной моделью на сегодня нет.</w:t>
      </w:r>
    </w:p>
    <w:p>
      <w:pPr>
        <w:pStyle w:val="Heading3"/>
      </w:pPr>
      <w:r>
        <w:t>2.3. Конкурентная среда</w:t>
      </w:r>
    </w:p>
    <w:p>
      <w:pPr>
        <w:pStyle w:val="ListBullet"/>
      </w:pPr>
      <w:r>
        <w:t>Внутренний рынок ЦФА растёт; действующие операторы реестра 779-П — Сбер, Альфа, Атомайз, Мастерчейн. В Stage 1 ЦП РСФСР работает как front-end / агент через технологическое партнёрство с одним из них; конкуренции на лицензионном уровне нет.</w:t>
      </w:r>
    </w:p>
    <w:p>
      <w:pPr>
        <w:pStyle w:val="ListBullet"/>
      </w:pPr>
      <w:r>
        <w:t>Дифференциация ЦП РСФСР — wedge-архитектура: размещения ЦФА привязаны к инфраструктурному фондированию через Фабрику ВЭБ.РФ + Федеральное казначейство, что превращает партнёра-оператора в дистрибуционный канал, а ЦП РСФСР — в специализированную инфраструктурную надстройку для целевых проектов с залоговым обеспечением.</w:t>
      </w:r>
    </w:p>
    <w:p>
      <w:pPr>
        <w:pStyle w:val="ListBullet"/>
      </w:pPr>
      <w:r>
        <w:t>Международные референсы (Securitize, Polymath, HQLAx) — токенизация активов общего назначения, без целевого государственного финансирования.</w:t>
      </w:r>
    </w:p>
    <w:p>
      <w:pPr>
        <w:pStyle w:val="Heading3"/>
      </w:pPr>
      <w:r>
        <w:t>2.4. Стратегические партнёрства</w:t>
      </w:r>
    </w:p>
    <w:p>
      <w:pPr>
        <w:pStyle w:val="ListBullet"/>
      </w:pPr>
      <w:r>
        <w:t>Подразумевается работа с Банком России, Минфином, Минцифры, Федеральным казначейством, Росфинмониторингом — все государственные ключевые узлы.</w:t>
      </w:r>
    </w:p>
    <w:p>
      <w:pPr>
        <w:pStyle w:val="ListBullet"/>
      </w:pPr>
      <w:r>
        <w:t>Партнёрская сеть из оценщиков и страховщиков — потенциально 100+ организаций.</w:t>
      </w:r>
    </w:p>
    <w:p>
      <w:pPr>
        <w:pStyle w:val="Heading3"/>
      </w:pPr>
      <w:r>
        <w:t>2.5. Stakeholder map / Government Champions</w:t>
      </w:r>
    </w:p>
    <w:p>
      <w:pPr>
        <w:jc w:val="both"/>
      </w:pPr>
      <w:r>
        <w:t xml:space="preserve">GTM-sequencing проекта построен на wedge-логике: ЦБ — последняя инстанция Stage 1, не первая. Карта согласований (синхронизирован с </w:t>
      </w:r>
      <w:r>
        <w:rPr>
          <w:rFonts w:ascii="Consolas" w:hAnsi="Consolas"/>
          <w:sz w:val="18"/>
        </w:rPr>
        <w:t>_Мастер/Концепт.md § 1-ter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Лицо / Орган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Роль в воронке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Минэк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Named sponsor; включение в нацпроекты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Pitch_deck slide «Government Champions»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Аппарат Правительства РФ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Архитектурная рамка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§ 1-bis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Действующий оператор ИС ЦФА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технологический провайдер 779-П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рамочный драфт (не подписан)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Минфин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Внебюджетный канал, давление ОФЗ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 v3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Минфин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Налоговая позиция по ЦФА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Юр.фундамент § 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ВЭБ.РФ ФПФ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Consultative letter по ПП № 158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банк-партнёр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MoU расчётного банка (рамочный драфт)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Татарстан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Региональный MoU (50–100 объектов)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Госдума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Консультация по 259-ФЗ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Доклад для ЦБ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T+180+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Банк России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Реестр операторов ИС ЦФА по 779-П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Юр.фундамент § 8.1</w:t>
            </w:r>
          </w:p>
        </w:tc>
      </w:tr>
    </w:tbl>
    <w:p/>
    <w:p>
      <w:pPr>
        <w:jc w:val="both"/>
      </w:pPr>
      <w:r>
        <w:rPr>
          <w:b/>
        </w:rPr>
        <w:t>Риск-сигнал:</w:t>
      </w:r>
      <w:r>
        <w:t xml:space="preserve"> отказ хотя бы одного из champion'ов уровня министр/замминистр → откат к Stage 2 / horizon 2029+, потеря ≈ 24 мес. на пакет 4 ФЗ.</w:t>
      </w:r>
    </w:p>
    <w:p>
      <w:pPr>
        <w:pStyle w:val="Heading3"/>
      </w:pPr>
      <w:r>
        <w:t>Оценка: 🟢 Green</w:t>
      </w:r>
    </w:p>
    <w:p>
      <w:pPr>
        <w:jc w:val="both"/>
      </w:pPr>
      <w:r>
        <w:t>Бизнес-модель состоятельная, рынок огромный, конкурентов нет. Stakeholder map поимённый — стандарт tier-1 GTM для государственно-значимых проектов.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Подготовить меморандумы о намерениях с 2–3 ключевыми банками-партнёрами на этапе seed.</w:t>
      </w:r>
    </w:p>
    <w:p>
      <w:pPr>
        <w:pStyle w:val="ListNumber"/>
      </w:pPr>
      <w:r>
        <w:t>Подготовить пилотный сегмент (например, ИЖС в Московской области) для быстрого PoC.</w:t>
      </w:r>
    </w:p>
    <w:p>
      <w:pPr>
        <w:pStyle w:val="Heading2"/>
      </w:pPr>
      <w:r>
        <w:t>3. Legal Due Diligence</w:t>
      </w:r>
    </w:p>
    <w:p>
      <w:pPr>
        <w:pStyle w:val="Heading3"/>
      </w:pPr>
      <w:r>
        <w:t>3.1. Право интеллектуальной собственности</w:t>
      </w:r>
    </w:p>
    <w:p>
      <w:pPr>
        <w:pStyle w:val="ListBullet"/>
      </w:pPr>
      <w:r>
        <w:t>Концепция и ноу-хау депонированы (свидетельство №4011265 от 19.12.2024, ireg.pro, ГОСТ-Р 34.11-2012).</w:t>
      </w:r>
    </w:p>
    <w:p>
      <w:pPr>
        <w:pStyle w:val="ListBullet"/>
      </w:pPr>
      <w:r>
        <w:t>Авторские права принадлежат Кагирову А.-Х.А. — единолично.</w:t>
      </w:r>
    </w:p>
    <w:p>
      <w:pPr>
        <w:pStyle w:val="ListBullet"/>
      </w:pPr>
      <w:r>
        <w:t>Депонирование — фиксация даты приоритета. Правовой режим охраны — ноу-хау (ст. 1465 ГК) и программа для ЭВМ (регистрация в Роспатенте — в работе).</w:t>
      </w:r>
    </w:p>
    <w:p>
      <w:pPr>
        <w:jc w:val="both"/>
      </w:pPr>
      <w:r>
        <w:rPr>
          <w:b/>
        </w:rPr>
        <w:t>Оценка:</w:t>
      </w:r>
      <w:r>
        <w:t xml:space="preserve"> 🟢 — IP корректно оформлен и защищён.</w:t>
      </w:r>
    </w:p>
    <w:p>
      <w:pPr>
        <w:pStyle w:val="Heading3"/>
      </w:pPr>
      <w:r>
        <w:t>3.2. Соответствие законодательству</w:t>
      </w:r>
    </w:p>
    <w:p>
      <w:pPr>
        <w:jc w:val="both"/>
      </w:pPr>
      <w:r>
        <w:t>Платформа опирается на:</w:t>
      </w:r>
    </w:p>
    <w:p>
      <w:pPr>
        <w:pStyle w:val="ListBullet"/>
      </w:pPr>
      <w:r>
        <w:t>Закон №259-ФЗ (ЦФА);</w:t>
      </w:r>
    </w:p>
    <w:p>
      <w:pPr>
        <w:pStyle w:val="ListBullet"/>
      </w:pPr>
      <w:r>
        <w:t>Закон №86-ФЗ (ЦБ РФ, в т.ч. в редакции №340-ФЗ о цифровом рубле);</w:t>
      </w:r>
    </w:p>
    <w:p>
      <w:pPr>
        <w:pStyle w:val="ListBullet"/>
      </w:pPr>
      <w:r>
        <w:t>Закон №161-ФЗ (НПС);</w:t>
      </w:r>
    </w:p>
    <w:p>
      <w:pPr>
        <w:pStyle w:val="ListBullet"/>
      </w:pPr>
      <w:r>
        <w:t>Закон №115-ФЗ (ПОД/ФТ);</w:t>
      </w:r>
    </w:p>
    <w:p>
      <w:pPr>
        <w:pStyle w:val="ListBullet"/>
      </w:pPr>
      <w:r>
        <w:t>Закон №152-ФЗ (ПДн);</w:t>
      </w:r>
    </w:p>
    <w:p>
      <w:pPr>
        <w:pStyle w:val="ListBullet"/>
      </w:pPr>
      <w:r>
        <w:t>Закон №187-ФЗ (КИИ);</w:t>
      </w:r>
    </w:p>
    <w:p>
      <w:pPr>
        <w:pStyle w:val="ListBullet"/>
      </w:pPr>
      <w:r>
        <w:t>ГК РФ (залог, эскроу, смарт-контракт);</w:t>
      </w:r>
    </w:p>
    <w:p>
      <w:pPr>
        <w:pStyle w:val="ListBullet"/>
      </w:pPr>
      <w:r>
        <w:t>Положения ЦБ 779-П, 780-П, 683-П.</w:t>
      </w:r>
    </w:p>
    <w:p>
      <w:pPr>
        <w:jc w:val="both"/>
      </w:pPr>
      <w:r>
        <w:rPr>
          <w:b/>
        </w:rPr>
        <w:t>Оценка:</w:t>
      </w:r>
      <w:r>
        <w:t xml:space="preserve"> 🟢 — базовый каркас существует в действующем праве.</w:t>
      </w:r>
    </w:p>
    <w:p>
      <w:pPr>
        <w:pStyle w:val="Heading3"/>
      </w:pPr>
      <w:r>
        <w:t>3.3. Необходимые регуляторные действия</w:t>
      </w:r>
    </w:p>
    <w:p>
      <w:pPr>
        <w:jc w:val="both"/>
      </w:pPr>
      <w:r>
        <w:rPr>
          <w:b/>
        </w:rPr>
        <w:t>Stage 1 (2026–2028) — без поправок в ФЗ.</w:t>
      </w:r>
      <w:r>
        <w:t xml:space="preserve"> Запуск ближнего контура возможен в действующем правовом поле:</w:t>
      </w:r>
    </w:p>
    <w:p>
      <w:pPr>
        <w:pStyle w:val="ListBullet"/>
      </w:pPr>
      <w:r>
        <w:t>259-ФЗ + Положение Банка России 779-П / Указание 4336-У — оператор по технологическому партнёрству;</w:t>
      </w:r>
    </w:p>
    <w:p>
      <w:pPr>
        <w:pStyle w:val="ListBullet"/>
      </w:pPr>
      <w:r>
        <w:t>ПП РФ от 15.02.2018 № 158 — фондирование через Фабрику проектного финансирования ВЭБ.РФ;</w:t>
      </w:r>
    </w:p>
    <w:p>
      <w:pPr>
        <w:pStyle w:val="ListBullet"/>
      </w:pPr>
      <w:r>
        <w:t>Бюджетный кодекс РФ — расчёты через Федеральное казначейство;</w:t>
      </w:r>
    </w:p>
    <w:p>
      <w:pPr>
        <w:pStyle w:val="ListBullet"/>
      </w:pPr>
      <w:r>
        <w:t>ГК РФ — залог и эскроу.</w:t>
      </w:r>
    </w:p>
    <w:p>
      <w:pPr>
        <w:jc w:val="both"/>
      </w:pPr>
      <w:r>
        <w:rPr>
          <w:b/>
        </w:rPr>
        <w:t>Stage 2 (горизонт 2029+) — пакет 4 ФЗ + 6 подзаконных актов</w:t>
      </w:r>
      <w:r>
        <w:t xml:space="preserve"> (см. документ «Юридический фундамент», разделы 8.2 и 8.3). Условие входа — положительный track-record Stage 1 ≥ 12 мес. и межведомственная позиция Минэк / Минфин / ВЭБ.РФ / Госдума.</w:t>
      </w:r>
    </w:p>
    <w:p>
      <w:pPr>
        <w:jc w:val="both"/>
      </w:pPr>
      <w:r>
        <w:rPr>
          <w:b/>
        </w:rPr>
        <w:t>Оценка:</w:t>
      </w:r>
      <w:r>
        <w:t xml:space="preserve"> 🟡 Amber — Stage 1 не несёт бинарного регуляторного риска и реализуется в действующем поле; Stage 2 — defensible horizon, не блокирующий ближний инвестиционный roadmap.</w:t>
      </w:r>
    </w:p>
    <w:p>
      <w:pPr>
        <w:pStyle w:val="Heading3"/>
      </w:pPr>
      <w:r>
        <w:t>3.4. Корпоративная структура оператора</w:t>
      </w:r>
    </w:p>
    <w:p>
      <w:pPr>
        <w:pStyle w:val="ListBullet"/>
      </w:pPr>
      <w:r>
        <w:t>На момент DD юридическое лицо оператора не создано.</w:t>
      </w:r>
    </w:p>
    <w:p>
      <w:pPr>
        <w:pStyle w:val="ListBullet"/>
      </w:pPr>
      <w:r>
        <w:t>Требуется ОПФ: АО или ООО (по 779-П).</w:t>
      </w:r>
    </w:p>
    <w:p>
      <w:pPr>
        <w:pStyle w:val="ListBullet"/>
      </w:pPr>
      <w:r>
        <w:t>Минимальный капитал — 50 млн ₽ на входе, 500 млн ₽ к промышленной фазе.</w:t>
      </w:r>
    </w:p>
    <w:p>
      <w:pPr>
        <w:jc w:val="both"/>
      </w:pPr>
      <w:r>
        <w:rPr>
          <w:b/>
        </w:rPr>
        <w:t>Оценка:</w:t>
      </w:r>
      <w:r>
        <w:t xml:space="preserve"> 🟡 — создание оператора-юрлица — задача на первые 90 дней после привлечения раунда.</w:t>
      </w:r>
    </w:p>
    <w:p>
      <w:pPr>
        <w:pStyle w:val="Heading3"/>
      </w:pPr>
      <w:r>
        <w:t>3.5. Лицензирование</w:t>
      </w:r>
    </w:p>
    <w:p>
      <w:pPr>
        <w:pStyle w:val="ListBullet"/>
      </w:pPr>
      <w:r>
        <w:t>Включение в реестр операторов ИС Банка России (статья 5 №259-ФЗ + Положение №779-П).</w:t>
      </w:r>
    </w:p>
    <w:p>
      <w:pPr>
        <w:pStyle w:val="ListBullet"/>
      </w:pPr>
      <w:r>
        <w:t>Сертификация СЗИ ФСТЭК / ФСБ.</w:t>
      </w:r>
    </w:p>
    <w:p>
      <w:pPr>
        <w:pStyle w:val="ListBullet"/>
      </w:pPr>
      <w:r>
        <w:t>Уведомление в Роскомнадзор как оператора ПДн.</w:t>
      </w:r>
    </w:p>
    <w:p>
      <w:pPr>
        <w:pStyle w:val="ListBullet"/>
      </w:pPr>
      <w:r>
        <w:t>Уведомление в ФСТЭК как объекта КИИ.</w:t>
      </w:r>
    </w:p>
    <w:p>
      <w:pPr>
        <w:jc w:val="both"/>
      </w:pPr>
      <w:r>
        <w:rPr>
          <w:b/>
        </w:rPr>
        <w:t>Оценка:</w:t>
      </w:r>
      <w:r>
        <w:t xml:space="preserve"> 🟡 — процесс понятный, но многоэтапный, требует 6–9 месяцев.</w:t>
      </w:r>
    </w:p>
    <w:p>
      <w:pPr>
        <w:pStyle w:val="Heading3"/>
      </w:pPr>
      <w:r>
        <w:t>3.6. Соглашения с государственными контрагентами</w:t>
      </w:r>
    </w:p>
    <w:p>
      <w:pPr>
        <w:jc w:val="both"/>
      </w:pPr>
      <w:r>
        <w:t>На момент DD отсутствуют формальные соглашения с ЦБ РФ, Минфином, Федеральным казначейством — что нормально для текущей стадии (концепция).</w:t>
      </w:r>
    </w:p>
    <w:p>
      <w:pPr>
        <w:jc w:val="both"/>
      </w:pPr>
      <w:r>
        <w:rPr>
          <w:b/>
        </w:rPr>
        <w:t>Оценка:</w:t>
      </w:r>
      <w:r>
        <w:t xml:space="preserve"> 🟡 — задача на этап подготовки.</w:t>
      </w:r>
    </w:p>
    <w:p>
      <w:pPr>
        <w:pStyle w:val="Heading3"/>
      </w:pPr>
      <w:r>
        <w:t>Итог Legal DD: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Создать оператора-юрлицо в первые 90 дней.</w:t>
      </w:r>
    </w:p>
    <w:p>
      <w:pPr>
        <w:pStyle w:val="ListNumber"/>
      </w:pPr>
      <w:r>
        <w:t>Подключить юридического советника уровня крупной российской консалтинговой компании (Bryan Cave / Городисский / Пепеляев).</w:t>
      </w:r>
    </w:p>
    <w:p>
      <w:pPr>
        <w:pStyle w:val="ListNumber"/>
      </w:pPr>
      <w:r>
        <w:t>Подготовить пакет проектов НПА и провести презентацию для Банка России в первые 180 дней.</w:t>
      </w:r>
    </w:p>
    <w:p>
      <w:pPr>
        <w:pStyle w:val="Heading2"/>
      </w:pPr>
      <w:r>
        <w:t>4. Financial Due Diligence</w:t>
      </w:r>
    </w:p>
    <w:p>
      <w:pPr>
        <w:pStyle w:val="Heading3"/>
      </w:pPr>
      <w:r>
        <w:t>4.1. Финансовая модель</w:t>
      </w:r>
    </w:p>
    <w:p>
      <w:pPr>
        <w:jc w:val="both"/>
      </w:pPr>
      <w:r>
        <w:t>Модель 10-летняя, базовая (BASE) / консервативная (CONSERVATIVE) / оптимистичная (OPTIMISTIC).</w:t>
      </w:r>
    </w:p>
    <w:p>
      <w:pPr>
        <w:jc w:val="both"/>
      </w:pPr>
      <w:r>
        <w:rPr>
          <w:b/>
        </w:rPr>
        <w:t>Ключевые KPI (BASE):</w:t>
      </w:r>
    </w:p>
    <w:p>
      <w:pPr>
        <w:pStyle w:val="ListBullet"/>
      </w:pPr>
      <w:r>
        <w:t xml:space="preserve">Стоимость бизнеса при ставке 29,58% = </w:t>
      </w:r>
      <w:r>
        <w:rPr>
          <w:b/>
        </w:rPr>
        <w:t>63,0 млрд ₽</w:t>
      </w:r>
      <w:r>
        <w:t>;</w:t>
      </w:r>
    </w:p>
    <w:p>
      <w:pPr>
        <w:pStyle w:val="ListBullet"/>
      </w:pPr>
      <w:r>
        <w:t>внутренняя норма доходности проекта — 182% (показатель непригоден для переговоров: модель не отражает полной стоимости входа на рынок);</w:t>
      </w:r>
    </w:p>
    <w:p>
      <w:pPr>
        <w:pStyle w:val="ListBullet"/>
      </w:pPr>
      <w:r>
        <w:t xml:space="preserve">окупаемость простая </w:t>
      </w:r>
      <w:r>
        <w:rPr>
          <w:b/>
        </w:rPr>
        <w:t>2,73 года</w:t>
      </w:r>
      <w:r>
        <w:t xml:space="preserve">, дисконтированная </w:t>
      </w:r>
      <w:r>
        <w:rPr>
          <w:b/>
        </w:rPr>
        <w:t>3,05 года</w:t>
      </w:r>
      <w:r>
        <w:t>;</w:t>
      </w:r>
    </w:p>
    <w:p>
      <w:pPr>
        <w:pStyle w:val="ListBullet"/>
      </w:pPr>
      <w:r>
        <w:t xml:space="preserve">пиковая потребность в финансировании = </w:t>
      </w:r>
      <w:r>
        <w:rPr>
          <w:b/>
        </w:rPr>
        <w:t>1,70 млрд ₽</w:t>
      </w:r>
      <w:r>
        <w:t xml:space="preserve"> (конец 2028 года), заявленный раунд 1,073 млрд ₽ её не покрывает;</w:t>
      </w:r>
    </w:p>
    <w:p>
      <w:pPr>
        <w:pStyle w:val="ListBullet"/>
      </w:pPr>
      <w:r>
        <w:t>Выручка год 5 = 37 млрд ₽;</w:t>
      </w:r>
    </w:p>
    <w:p>
      <w:pPr>
        <w:pStyle w:val="ListBullet"/>
      </w:pPr>
      <w:r>
        <w:t>Выручка год 10 = 138 млрд ₽;</w:t>
      </w:r>
    </w:p>
    <w:p>
      <w:pPr>
        <w:pStyle w:val="ListBullet"/>
      </w:pPr>
      <w:r>
        <w:t>EBITDA маржа TV ≈ 74,8% (отражает инфраструктурную природу с учётом OpEx-добавок на комплаенс, кибербезопасность, юридическое сопровождение и пул оценщиков/страховщиков).</w:t>
      </w:r>
    </w:p>
    <w:p>
      <w:pPr>
        <w:jc w:val="both"/>
      </w:pPr>
      <w:r>
        <w:rPr>
          <w:b/>
        </w:rPr>
        <w:t>Допущения модели:</w:t>
      </w:r>
    </w:p>
    <w:p>
      <w:pPr>
        <w:pStyle w:val="ListBullet"/>
      </w:pPr>
      <w:r>
        <w:t>Доля рынка от 25 трлн ₽ растёт с 0,4% в год 2 до 18% в год 10.</w:t>
      </w:r>
    </w:p>
    <w:p>
      <w:pPr>
        <w:pStyle w:val="ListBullet"/>
      </w:pPr>
      <w:r>
        <w:t>Средняя комиссия за выпуск ЦФА: 0,5% номинала.</w:t>
      </w:r>
    </w:p>
    <w:p>
      <w:pPr>
        <w:pStyle w:val="ListBullet"/>
      </w:pPr>
      <w:r>
        <w:t>Сервисная комиссия: 0,3% годовых от обращаемого ЦФА.</w:t>
      </w:r>
    </w:p>
    <w:p>
      <w:pPr>
        <w:pStyle w:val="ListBullet"/>
      </w:pPr>
      <w:r>
        <w:t>CapEx: 850 млн ₽ за 18 мес.; OpEx: 380 млн ₽/год с +10%/год индексацией.</w:t>
      </w:r>
    </w:p>
    <w:p>
      <w:pPr>
        <w:pStyle w:val="ListBullet"/>
      </w:pPr>
      <w:r>
        <w:t>WACC: 30% (основан на 10Y ОФЗ + риск-премия).</w:t>
      </w:r>
    </w:p>
    <w:p>
      <w:pPr>
        <w:pStyle w:val="Heading3"/>
      </w:pPr>
      <w:r>
        <w:t>4.2. Чувствительность</w:t>
      </w:r>
    </w:p>
    <w:p>
      <w:pPr>
        <w:pStyle w:val="ListBullet"/>
      </w:pPr>
      <w:r>
        <w:t>WACC ±3 п.п. → NPV ±25%;</w:t>
      </w:r>
    </w:p>
    <w:p>
      <w:pPr>
        <w:pStyle w:val="ListBullet"/>
      </w:pPr>
      <w:r>
        <w:t>Доля рынка ×0,5 → NPV –27%;</w:t>
      </w:r>
    </w:p>
    <w:p>
      <w:pPr>
        <w:pStyle w:val="ListBullet"/>
      </w:pPr>
      <w:r>
        <w:t>Тарифы ±20% → стоимость бизнеса ±13,1 млрд ₽ (±21%).</w:t>
      </w:r>
    </w:p>
    <w:p>
      <w:pPr>
        <w:jc w:val="both"/>
      </w:pPr>
      <w:r>
        <w:t xml:space="preserve">Чувствительность асимметричная: даже консервативные сценарии (доля ×0,5; WACC 25%) дают </w:t>
      </w:r>
      <w:r>
        <w:rPr>
          <w:b/>
        </w:rPr>
        <w:t>NPV ~57 млрд ₽</w:t>
      </w:r>
      <w:r>
        <w:t xml:space="preserve"> — модель устойчива.</w:t>
      </w:r>
    </w:p>
    <w:p>
      <w:pPr>
        <w:pStyle w:val="Heading3"/>
      </w:pPr>
      <w:r>
        <w:t>4.3. Допущения по выручке</w:t>
      </w:r>
    </w:p>
    <w:p>
      <w:pPr>
        <w:pStyle w:val="ListBullet"/>
      </w:pPr>
      <w:r>
        <w:t>Структура выручки эволюционирует от первичных комиссий за размещение (год 5: 39%) к сервисной марже от обслуживания обращаемых ЦФА (год 10: 58%). Это типично для инфраструктурного оператора и означает повышенную предсказуемость денежных потоков на горизонте.</w:t>
      </w:r>
    </w:p>
    <w:p>
      <w:pPr>
        <w:pStyle w:val="Heading3"/>
      </w:pPr>
      <w:r>
        <w:t>Оценка: 🟢 Green</w:t>
      </w:r>
    </w:p>
    <w:p>
      <w:pPr>
        <w:jc w:val="both"/>
      </w:pPr>
      <w:r>
        <w:t>Модель тщательная, допущения разумные, чувствительность отработана.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Подкрепить допущения по комиссиям бенчмарками российских ЦФА-операторов (Сбер, Атомайз).</w:t>
      </w:r>
    </w:p>
    <w:p>
      <w:pPr>
        <w:pStyle w:val="ListNumber"/>
      </w:pPr>
      <w:r>
        <w:t>Подготовить квартальную модель на первые 24 месяца для управления денежным потоком пилотной фазы.</w:t>
      </w:r>
    </w:p>
    <w:p>
      <w:pPr>
        <w:pStyle w:val="Heading2"/>
      </w:pPr>
      <w:r>
        <w:t>5. Technical Due Diligence</w:t>
      </w:r>
    </w:p>
    <w:p>
      <w:pPr>
        <w:pStyle w:val="Heading3"/>
      </w:pPr>
      <w:r>
        <w:t>5.1. Архитектура</w:t>
      </w:r>
    </w:p>
    <w:p>
      <w:pPr>
        <w:pStyle w:val="ListBullet"/>
      </w:pPr>
      <w:r>
        <w:t>7-слойная архитектура микросервисов.</w:t>
      </w:r>
    </w:p>
    <w:p>
      <w:pPr>
        <w:pStyle w:val="ListBullet"/>
      </w:pPr>
      <w:r>
        <w:t>Геораспределение 3 ЦОД active-active-active + резервный.</w:t>
      </w:r>
    </w:p>
    <w:p>
      <w:pPr>
        <w:pStyle w:val="ListBullet"/>
      </w:pPr>
      <w:r>
        <w:t>DLT-реестр на отечественной платформе.</w:t>
      </w:r>
    </w:p>
    <w:p>
      <w:pPr>
        <w:pStyle w:val="ListBullet"/>
      </w:pPr>
      <w:r>
        <w:t>Импортонезависимость 100%.</w:t>
      </w:r>
    </w:p>
    <w:p>
      <w:pPr>
        <w:pStyle w:val="Heading3"/>
      </w:pPr>
      <w:r>
        <w:t>5.2. Технологический стек</w:t>
      </w:r>
    </w:p>
    <w:p>
      <w:pPr>
        <w:pStyle w:val="ListBullet"/>
      </w:pPr>
      <w:r>
        <w:t>Astra Linux Special Edition / РЕД ОС.</w:t>
      </w:r>
    </w:p>
    <w:p>
      <w:pPr>
        <w:pStyle w:val="ListBullet"/>
      </w:pPr>
      <w:r>
        <w:t>Postgres Pro / Ред БД / Tantor.</w:t>
      </w:r>
    </w:p>
    <w:p>
      <w:pPr>
        <w:pStyle w:val="ListBullet"/>
      </w:pPr>
      <w:r>
        <w:t>Отечественный Kubernetes-дистрибутив.</w:t>
      </w:r>
    </w:p>
    <w:p>
      <w:pPr>
        <w:pStyle w:val="ListBullet"/>
      </w:pPr>
      <w:r>
        <w:t>КриптоПро / ВипНет для криптографии.</w:t>
      </w:r>
    </w:p>
    <w:p>
      <w:pPr>
        <w:pStyle w:val="ListBullet"/>
      </w:pPr>
      <w:r>
        <w:t>Apache Kafka.</w:t>
      </w:r>
    </w:p>
    <w:p>
      <w:pPr>
        <w:jc w:val="both"/>
      </w:pPr>
      <w:r>
        <w:rPr>
          <w:b/>
        </w:rPr>
        <w:t>Оценка:</w:t>
      </w:r>
      <w:r>
        <w:t xml:space="preserve"> 🟢 — все компоненты реалистичны, в реестре Минцифры или сертифицированы ФСТЭК.</w:t>
      </w:r>
    </w:p>
    <w:p>
      <w:pPr>
        <w:pStyle w:val="Heading3"/>
      </w:pPr>
      <w:r>
        <w:t>5.3. DLT-реестр</w:t>
      </w:r>
    </w:p>
    <w:p>
      <w:pPr>
        <w:pStyle w:val="ListBullet"/>
      </w:pPr>
      <w:r>
        <w:t>Permissioned DLT с PBFT-консенсусом.</w:t>
      </w:r>
    </w:p>
    <w:p>
      <w:pPr>
        <w:pStyle w:val="ListBullet"/>
      </w:pPr>
      <w:r>
        <w:t>Привязка к Мастерчейн / Waves Enterprise — на этапе пилота требуется выбор поставщика.</w:t>
      </w:r>
    </w:p>
    <w:p>
      <w:pPr>
        <w:jc w:val="both"/>
      </w:pPr>
      <w:r>
        <w:rPr>
          <w:b/>
        </w:rPr>
        <w:t>Оценка:</w:t>
      </w:r>
      <w:r>
        <w:t xml:space="preserve"> 🟡 — выбор DLT-поставщика — критическое решение, нужно проводить PoC с двумя кандидатами.</w:t>
      </w:r>
    </w:p>
    <w:p>
      <w:pPr>
        <w:pStyle w:val="Heading3"/>
      </w:pPr>
      <w:r>
        <w:t>5.4. Безопасность</w:t>
      </w:r>
    </w:p>
    <w:p>
      <w:pPr>
        <w:pStyle w:val="ListBullet"/>
      </w:pPr>
      <w:r>
        <w:t>Категория КИИ 1.</w:t>
      </w:r>
    </w:p>
    <w:p>
      <w:pPr>
        <w:pStyle w:val="ListBullet"/>
      </w:pPr>
      <w:r>
        <w:t>ГОСТ Р 57580.1 уровень 4.</w:t>
      </w:r>
    </w:p>
    <w:p>
      <w:pPr>
        <w:pStyle w:val="ListBullet"/>
      </w:pPr>
      <w:r>
        <w:t>УЗ-1 для ПДн.</w:t>
      </w:r>
    </w:p>
    <w:p>
      <w:pPr>
        <w:jc w:val="both"/>
      </w:pPr>
      <w:r>
        <w:rPr>
          <w:b/>
        </w:rPr>
        <w:t>Оценка:</w:t>
      </w:r>
      <w:r>
        <w:t xml:space="preserve"> 🟡 — амбициозный, но достижимый профиль. Требует сильную ИБ-команду и значительные затраты на сертификацию.</w:t>
      </w:r>
    </w:p>
    <w:p>
      <w:pPr>
        <w:pStyle w:val="Heading3"/>
      </w:pPr>
      <w:r>
        <w:t>5.5. Команда</w:t>
      </w:r>
    </w:p>
    <w:p>
      <w:pPr>
        <w:pStyle w:val="ListBullet"/>
      </w:pPr>
      <w:r>
        <w:t>Заявленный размер к концу года 2 — 120 человек.</w:t>
      </w:r>
    </w:p>
    <w:p>
      <w:pPr>
        <w:pStyle w:val="ListBullet"/>
      </w:pPr>
      <w:r>
        <w:t>На момент DD команда не сформирована (что нормально на текущей стадии).</w:t>
      </w:r>
    </w:p>
    <w:p>
      <w:pPr>
        <w:jc w:val="both"/>
      </w:pPr>
      <w:r>
        <w:rPr>
          <w:b/>
        </w:rPr>
        <w:t>Оценка:</w:t>
      </w:r>
      <w:r>
        <w:t xml:space="preserve"> 🟡 — найм 120 человек за 12–18 мес. требует ресурса; митигация — партнёрство с крупным интегратором (КРОК / IBS / Лига Цифровой Экономики / ICL).</w:t>
      </w:r>
    </w:p>
    <w:p>
      <w:pPr>
        <w:pStyle w:val="Heading3"/>
      </w:pPr>
      <w:r>
        <w:t>Итог Technical DD: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Запустить PoC с двумя DLT-поставщиками в первые 90 дней.</w:t>
      </w:r>
    </w:p>
    <w:p>
      <w:pPr>
        <w:pStyle w:val="ListNumber"/>
      </w:pPr>
      <w:r>
        <w:t>Заключить рамочное соглашение с крупным интегратором на расширение команды.</w:t>
      </w:r>
    </w:p>
    <w:p>
      <w:pPr>
        <w:pStyle w:val="ListNumber"/>
      </w:pPr>
      <w:r>
        <w:t>На стадии MVP — fокус на core-сервисах (KYC, оценка, выпуск ЦФА, реестр), отложить второстепенное.</w:t>
      </w:r>
    </w:p>
    <w:p>
      <w:pPr>
        <w:pStyle w:val="Heading2"/>
      </w:pPr>
      <w:r>
        <w:t>6. Operational Due Diligence</w:t>
      </w:r>
    </w:p>
    <w:p>
      <w:pPr>
        <w:pStyle w:val="Heading3"/>
      </w:pPr>
      <w:r>
        <w:t>6.1. Процессы</w:t>
      </w:r>
    </w:p>
    <w:p>
      <w:pPr>
        <w:jc w:val="both"/>
      </w:pPr>
      <w:r>
        <w:t>Жизненный цикл ЦФА описан в 19 шагах и в виде 6 ключевых этапов. Процессы детализированы в техдокументации.</w:t>
      </w:r>
    </w:p>
    <w:p>
      <w:pPr>
        <w:pStyle w:val="Heading3"/>
      </w:pPr>
      <w:r>
        <w:t>6.2. Партнёрская сеть</w:t>
      </w:r>
    </w:p>
    <w:p>
      <w:pPr>
        <w:jc w:val="both"/>
      </w:pPr>
      <w:r>
        <w:t>Требуется набрать оценочные и страховые организации — на момент DD есть план, но нет заключённых соглашений.</w:t>
      </w:r>
    </w:p>
    <w:p>
      <w:pPr>
        <w:jc w:val="both"/>
      </w:pPr>
      <w:r>
        <w:rPr>
          <w:b/>
        </w:rPr>
        <w:t>Оценка:</w:t>
      </w:r>
      <w:r>
        <w:t xml:space="preserve"> 🟡 — первые соглашения должны появиться в первые 180 дней.</w:t>
      </w:r>
    </w:p>
    <w:p>
      <w:pPr>
        <w:pStyle w:val="Heading3"/>
      </w:pPr>
      <w:r>
        <w:t>6.3. Команда и подбор</w:t>
      </w:r>
    </w:p>
    <w:p>
      <w:pPr>
        <w:jc w:val="both"/>
      </w:pPr>
      <w:r>
        <w:t>Не сформирована. Найм 120 человек за 12–18 мес. — реалистичная задача при правильном партнёрстве.</w:t>
      </w:r>
    </w:p>
    <w:p>
      <w:pPr>
        <w:jc w:val="both"/>
      </w:pPr>
      <w:r>
        <w:rPr>
          <w:b/>
        </w:rPr>
        <w:t>Оценка:</w:t>
      </w:r>
      <w:r>
        <w:t xml:space="preserve"> 🟡 — задача на executive search.</w:t>
      </w:r>
    </w:p>
    <w:p>
      <w:pPr>
        <w:pStyle w:val="Heading3"/>
      </w:pPr>
      <w:r>
        <w:t>6.4. Регуляторные процессы</w:t>
      </w:r>
    </w:p>
    <w:p>
      <w:pPr>
        <w:jc w:val="both"/>
      </w:pPr>
      <w:r>
        <w:t>Регуляторная отчётность — детально проработана в техдокументации.</w:t>
      </w:r>
    </w:p>
    <w:p>
      <w:pPr>
        <w:jc w:val="both"/>
      </w:pPr>
      <w:r>
        <w:rPr>
          <w:b/>
        </w:rPr>
        <w:t>Оценка:</w:t>
      </w:r>
      <w:r>
        <w:t xml:space="preserve"> 🟢 — концептуально готово; реализация — в фазе разработки.</w:t>
      </w:r>
    </w:p>
    <w:p>
      <w:pPr>
        <w:pStyle w:val="Heading3"/>
      </w:pPr>
      <w:r>
        <w:t>Итог Operational DD: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Подобрать CEO и CTO в первые 60 дней; затем разворачивание организационной структуры.</w:t>
      </w:r>
    </w:p>
    <w:p>
      <w:pPr>
        <w:pStyle w:val="ListNumber"/>
      </w:pPr>
      <w:r>
        <w:t>Заключить рамочные соглашения с 2–3 оценочными и 2 страховыми компаниями в первые 180 дней.</w:t>
      </w:r>
    </w:p>
    <w:p>
      <w:pPr>
        <w:pStyle w:val="Heading2"/>
      </w:pPr>
      <w:r>
        <w:t>7. Tax &amp; Regulatory Due Diligence</w:t>
      </w:r>
    </w:p>
    <w:p>
      <w:pPr>
        <w:pStyle w:val="Heading3"/>
      </w:pPr>
      <w:r>
        <w:t>7.1. Налоговый режим</w:t>
      </w:r>
    </w:p>
    <w:p>
      <w:pPr>
        <w:jc w:val="both"/>
      </w:pPr>
      <w:r>
        <w:t>Операции с ЦФА регулируются:</w:t>
      </w:r>
    </w:p>
    <w:p>
      <w:pPr>
        <w:pStyle w:val="ListBullet"/>
      </w:pPr>
      <w:r>
        <w:t>статьёй 214.11 НК РФ (НДФЛ);</w:t>
      </w:r>
    </w:p>
    <w:p>
      <w:pPr>
        <w:pStyle w:val="ListBullet"/>
      </w:pPr>
      <w:r>
        <w:t>главой 25 НК РФ (налог на прибыль);</w:t>
      </w:r>
    </w:p>
    <w:p>
      <w:pPr>
        <w:pStyle w:val="ListBullet"/>
      </w:pPr>
      <w:r>
        <w:t>подпунктом 12.2 пункта 2 статьи 149 НК РФ (ФЗ от 31.07.2020 № 324-ФЗ — освобождение операций с ЦФА от НДС) (НДС — освобождение в части).</w:t>
      </w:r>
    </w:p>
    <w:p>
      <w:pPr>
        <w:jc w:val="both"/>
      </w:pPr>
      <w:r>
        <w:rPr>
          <w:b/>
        </w:rPr>
        <w:t>Оценка:</w:t>
      </w:r>
      <w:r>
        <w:t xml:space="preserve"> 🟡 — налоговая практика по ЦФА формируется; рекомендуется получить разъяснения Минфина / ФНС на этапе пилота.</w:t>
      </w:r>
    </w:p>
    <w:p>
      <w:pPr>
        <w:pStyle w:val="Heading3"/>
      </w:pPr>
      <w:r>
        <w:t>7.2. Регуляторные ставки и комиссии</w:t>
      </w:r>
    </w:p>
    <w:p>
      <w:pPr>
        <w:pStyle w:val="ListBullet"/>
      </w:pPr>
      <w:r>
        <w:t>ЦБ РФ: лицензионные сборы — отсутствуют (отдельные плательщики госпошлины).</w:t>
      </w:r>
    </w:p>
    <w:p>
      <w:pPr>
        <w:pStyle w:val="ListBullet"/>
      </w:pPr>
      <w:r>
        <w:t>Росфинмониторинг: без специальных сборов.</w:t>
      </w:r>
    </w:p>
    <w:p>
      <w:pPr>
        <w:pStyle w:val="Heading3"/>
      </w:pPr>
      <w:r>
        <w:t>7.3. Налоговая нагрузка по модели</w:t>
      </w:r>
    </w:p>
    <w:p>
      <w:pPr>
        <w:pStyle w:val="ListBullet"/>
      </w:pPr>
      <w:r>
        <w:t>Эффективная ставка налога на прибыль: 25% (ставка с 01.01.2025 по 176-ФЗ от 12.07.2024); в первые прибыльные годы ниже за счёт переноса убытков.</w:t>
      </w:r>
    </w:p>
    <w:p>
      <w:pPr>
        <w:pStyle w:val="ListBullet"/>
      </w:pPr>
      <w:r>
        <w:t>Страховые взносы: 30%.</w:t>
      </w:r>
    </w:p>
    <w:p>
      <w:pPr>
        <w:pStyle w:val="ListBullet"/>
      </w:pPr>
      <w:r>
        <w:t>НДС: применимость по операциям подлежит уточнению.</w:t>
      </w:r>
    </w:p>
    <w:p>
      <w:pPr>
        <w:pStyle w:val="Heading3"/>
      </w:pPr>
      <w:r>
        <w:t>Итог: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Получить разъяснения Минфина по налогообложению операций мены ЦФА.</w:t>
      </w:r>
    </w:p>
    <w:p>
      <w:pPr>
        <w:pStyle w:val="ListNumber"/>
      </w:pPr>
      <w:r>
        <w:t>Получить разъяснения ФНС по НДФЛ-учёту операций.</w:t>
      </w:r>
    </w:p>
    <w:p>
      <w:pPr>
        <w:pStyle w:val="Heading2"/>
      </w:pPr>
      <w:r>
        <w:t>8. ESG / Sustainability Due Diligence</w:t>
      </w:r>
    </w:p>
    <w:p>
      <w:pPr>
        <w:pStyle w:val="Heading3"/>
      </w:pPr>
      <w:r>
        <w:t>8.1. Социальный эффект</w:t>
      </w:r>
    </w:p>
    <w:p>
      <w:pPr>
        <w:pStyle w:val="ListBullet"/>
      </w:pPr>
      <w:r>
        <w:t>Развитие нацпроектов — массовый социальный эффект.</w:t>
      </w:r>
    </w:p>
    <w:p>
      <w:pPr>
        <w:pStyle w:val="ListBullet"/>
      </w:pPr>
      <w:r>
        <w:t>Дополнительный доход для собственников залога — финансовая инклюзия.</w:t>
      </w:r>
    </w:p>
    <w:p>
      <w:pPr>
        <w:pStyle w:val="ListBullet"/>
      </w:pPr>
      <w:r>
        <w:t>Рост занятости в инфраструктурных проектах.</w:t>
      </w:r>
    </w:p>
    <w:p>
      <w:pPr>
        <w:pStyle w:val="Heading3"/>
      </w:pPr>
      <w:r>
        <w:t>8.2. Экологический след</w:t>
      </w:r>
    </w:p>
    <w:p>
      <w:pPr>
        <w:pStyle w:val="ListBullet"/>
      </w:pPr>
      <w:r>
        <w:t>Платформа цифровая; основной экологический эффект — энергопотребление ЦОД.</w:t>
      </w:r>
    </w:p>
    <w:p>
      <w:pPr>
        <w:pStyle w:val="ListBullet"/>
      </w:pPr>
      <w:r>
        <w:t>DLT-реестр permissioned — экологически нейтрален в отличие от PoW-блокчейнов.</w:t>
      </w:r>
    </w:p>
    <w:p>
      <w:pPr>
        <w:pStyle w:val="Heading3"/>
      </w:pPr>
      <w:r>
        <w:t>8.3. Корпоративное управление</w:t>
      </w:r>
    </w:p>
    <w:p>
      <w:pPr>
        <w:pStyle w:val="ListBullet"/>
      </w:pPr>
      <w:r>
        <w:t>Прозрачная структура; все операции в неизменяемом аудит-логе.</w:t>
      </w:r>
    </w:p>
    <w:p>
      <w:pPr>
        <w:pStyle w:val="ListBullet"/>
      </w:pPr>
      <w:r>
        <w:t>Регуляторный надзор Банка России.</w:t>
      </w:r>
    </w:p>
    <w:p>
      <w:pPr>
        <w:pStyle w:val="Heading3"/>
      </w:pPr>
      <w:r>
        <w:t>Итог: 🟢 Green</w:t>
      </w:r>
    </w:p>
    <w:p>
      <w:pPr>
        <w:jc w:val="both"/>
      </w:pPr>
      <w:r>
        <w:t>ESG-профиль сильный; проект — отличный кейс для государственного ESG-фондирования.</w:t>
      </w:r>
    </w:p>
    <w:p>
      <w:pPr>
        <w:pStyle w:val="Heading2"/>
      </w:pPr>
      <w:r>
        <w:t>9. Сводный список Red и Amber-флагов</w:t>
      </w:r>
    </w:p>
    <w:p>
      <w:pPr>
        <w:pStyle w:val="Heading3"/>
      </w:pPr>
      <w:r>
        <w:t>Red-флаги (требуют устранения как условие сделки)</w:t>
      </w:r>
    </w:p>
    <w:p>
      <w:pPr>
        <w:jc w:val="both"/>
      </w:pPr>
      <w:r>
        <w:t xml:space="preserve">На текущей стадии </w:t>
      </w:r>
      <w:r>
        <w:rPr>
          <w:b/>
        </w:rPr>
        <w:t>критических red-флагов не выявлено</w:t>
      </w:r>
      <w:r>
        <w:t>. Регуляторная зависимость (поправки в 86-ФЗ и 259-ФЗ) переведена в Amber при наличии плана митигации.</w:t>
      </w:r>
    </w:p>
    <w:p>
      <w:pPr>
        <w:pStyle w:val="Heading3"/>
      </w:pPr>
      <w:r>
        <w:t>Amber-флаги (план должен быть утверждён в первые 180 дней closing)</w:t>
      </w:r>
    </w:p>
    <w:p>
      <w:pPr>
        <w:pStyle w:val="ListNumber"/>
      </w:pPr>
      <w:r>
        <w:t>Отсутствие оператора-юридического лица.</w:t>
      </w:r>
    </w:p>
    <w:p>
      <w:pPr>
        <w:pStyle w:val="ListNumber"/>
      </w:pPr>
      <w:r>
        <w:t>Отсутствие лицензии Банка России (плановый срок получения — 12–15 мес.).</w:t>
      </w:r>
    </w:p>
    <w:p>
      <w:pPr>
        <w:pStyle w:val="ListNumber"/>
      </w:pPr>
      <w:r>
        <w:t>Не выбран DLT-поставщик.</w:t>
      </w:r>
    </w:p>
    <w:p>
      <w:pPr>
        <w:pStyle w:val="ListNumber"/>
      </w:pPr>
      <w:r>
        <w:t>Не сформирована команда (120 чел. к концу года 2).</w:t>
      </w:r>
    </w:p>
    <w:p>
      <w:pPr>
        <w:pStyle w:val="ListNumber"/>
      </w:pPr>
      <w:r>
        <w:t>Отсутствуют соглашения с оценочными и страховыми партнёрами.</w:t>
      </w:r>
    </w:p>
    <w:p>
      <w:pPr>
        <w:pStyle w:val="ListNumber"/>
      </w:pPr>
      <w:r>
        <w:t>Налоговая практика по операциям с ЦФА не устоявшаяся.</w:t>
      </w:r>
    </w:p>
    <w:p>
      <w:pPr>
        <w:pStyle w:val="ListNumber"/>
      </w:pPr>
      <w:r>
        <w:t>Бинарный регуляторный риск (пакет НПА).</w:t>
      </w:r>
    </w:p>
    <w:p>
      <w:pPr>
        <w:pStyle w:val="Heading3"/>
      </w:pPr>
      <w:r>
        <w:t>Рекомендации по структурированию сделки</w:t>
      </w:r>
    </w:p>
    <w:p>
      <w:pPr>
        <w:pStyle w:val="ListNumber"/>
      </w:pPr>
      <w:r>
        <w:rPr>
          <w:b/>
        </w:rPr>
        <w:t>Транчирование инвестиций</w:t>
      </w:r>
      <w:r>
        <w:t xml:space="preserve"> по достижению milestones (создание юрлица, получение лицензии, выпуск первого ЦФА).</w:t>
      </w:r>
    </w:p>
    <w:p>
      <w:pPr>
        <w:pStyle w:val="ListNumber"/>
      </w:pPr>
      <w:r>
        <w:rPr>
          <w:b/>
        </w:rPr>
        <w:t>Резервирование 20% раунда</w:t>
      </w:r>
      <w:r>
        <w:t xml:space="preserve"> на параллельное юридическое сопровождение НПА (это критическая задача).</w:t>
      </w:r>
    </w:p>
    <w:p>
      <w:pPr>
        <w:pStyle w:val="ListNumber"/>
      </w:pPr>
      <w:r>
        <w:rPr>
          <w:b/>
        </w:rPr>
        <w:t>Условие лицензии</w:t>
      </w:r>
      <w:r>
        <w:t>: финальная транша связана с включением в реестр операторов ИС Банка России.</w:t>
      </w:r>
    </w:p>
    <w:p>
      <w:pPr>
        <w:pStyle w:val="ListNumber"/>
      </w:pPr>
      <w:r>
        <w:rPr>
          <w:b/>
        </w:rPr>
        <w:t>Совет директоров</w:t>
      </w:r>
      <w:r>
        <w:t xml:space="preserve"> оператора — с представителями инвестора и независимыми членами (минимум 30% независимых).</w:t>
      </w:r>
    </w:p>
    <w:p>
      <w:pPr>
        <w:pStyle w:val="ListNumber"/>
      </w:pPr>
      <w:r>
        <w:rPr>
          <w:b/>
        </w:rPr>
        <w:t>Опцион сотрудников</w:t>
      </w:r>
      <w:r>
        <w:t xml:space="preserve"> (ESOP) на 10% от пула — обязательное условие для удержания ключевых сотрудников.</w:t>
      </w:r>
    </w:p>
    <w:p>
      <w:pPr>
        <w:pStyle w:val="Heading2"/>
      </w:pPr>
      <w:r>
        <w:t>10. Итоговое заключение</w:t>
      </w:r>
    </w:p>
    <w:p>
      <w:pPr>
        <w:jc w:val="both"/>
      </w:pPr>
      <w:r>
        <w:t xml:space="preserve">Проект </w:t>
      </w:r>
      <w:r>
        <w:rPr>
          <w:b/>
        </w:rPr>
        <w:t>рекомендован к стартовому финансированию</w:t>
      </w:r>
      <w:r>
        <w:t xml:space="preserve"> при условии:</w:t>
      </w:r>
    </w:p>
    <w:p>
      <w:pPr>
        <w:pStyle w:val="ListNumber"/>
      </w:pPr>
      <w:r>
        <w:t>Создание оператора-юрлица в первые 90 дней.</w:t>
      </w:r>
    </w:p>
    <w:p>
      <w:pPr>
        <w:pStyle w:val="ListNumber"/>
      </w:pPr>
      <w:r>
        <w:t>Утверждённый план получения лицензии Банка России к месяцу 12.</w:t>
      </w:r>
    </w:p>
    <w:p>
      <w:pPr>
        <w:pStyle w:val="ListNumber"/>
      </w:pPr>
      <w:r>
        <w:t>Утверждённый план параллельной работы с законодателями по принятию пакета НПА.</w:t>
      </w:r>
    </w:p>
    <w:p>
      <w:pPr>
        <w:pStyle w:val="ListNumber"/>
      </w:pPr>
      <w:r>
        <w:t>Подбор CEO и CTO в первые 60 дней.</w:t>
      </w:r>
    </w:p>
    <w:p>
      <w:pPr>
        <w:pStyle w:val="ListNumber"/>
      </w:pPr>
      <w:r>
        <w:t>PoC двух DLT-поставщиков в первые 90 дней.</w:t>
      </w:r>
    </w:p>
    <w:p>
      <w:pPr>
        <w:jc w:val="both"/>
      </w:pPr>
      <w:r>
        <w:rPr>
          <w:b/>
        </w:rPr>
        <w:t>Целевой стартовый раунд:</w:t>
      </w:r>
      <w:r>
        <w:t xml:space="preserve"> рекомендуемый размер — 1,8 млрд ₽ (расчётная пиковая потребность 1,70 млрд ₽ плюс резерв). При расчётной стоимости входа $ 248 млн (₽ 17,74 млрд) и раунде $ 15 млн доля инвестора составляет 5,70%. Диапазон стоимости входа по сценариям — $ 164–301 млн.</w:t>
      </w:r>
    </w:p>
    <w:p>
      <w:pPr>
        <w:jc w:val="both"/>
      </w:pPr>
      <w:r>
        <w:rPr>
          <w:b/>
        </w:rPr>
        <w:t>Главный аргумент:</w:t>
      </w:r>
      <w:r>
        <w:t xml:space="preserve"> даже консервативный сценарий даёт стоимость бизнеса 20,1 млрд ₽ при потребности в финансировании 2,28 млрд ₽. При этом следует прямо называть два риска: регуляторный (бинарный) и риск сроков — каждый год задержки запуска снимает около четверти стоимости и увеличивает потребность в деньгах примерно вдвое.</w:t>
      </w:r>
    </w:p>
    <w:p>
      <w:pPr>
        <w:jc w:val="both"/>
      </w:pPr>
      <w:r>
        <w:rPr>
          <w:i/>
        </w:rPr>
        <w:t>DD-отчёт подготовлен в составе пакета проектной документации «Цифровая Платформа РСФСР» и предназначен для использования инвестором, советом директоров и регуляторами при оценке проекта. Документ не заменяет независимый DD аккредитованной аудиторской компанией и предназначен как структурированный обзор по методологии Большой Четвёрки.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