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ЦПФСР · Цифровая Платформа Финансирования Социального Развития</w:t>
      </w:r>
    </w:p>
    <w:p>
      <w:pPr>
        <w:jc w:val="both"/>
      </w:pPr>
      <w:r>
        <w:rPr>
          <w:b/>
        </w:rPr>
        <w:t>Независимая оценка справедливой стоимости имущественного комплекса проекта dpfsd.ru на 31 декабря 2026 года (редакция 2)</w:t>
      </w:r>
    </w:p>
    <w:p>
      <w:pPr>
        <w:pStyle w:val="ListBullet"/>
      </w:pPr>
      <w:r>
        <w:t>Highest Tier · IVS 2025 · IFRS 13 · ФСО I–VI</w:t>
      </w:r>
    </w:p>
    <w:p>
      <w:pPr>
        <w:pStyle w:val="ListBullet"/>
      </w:pPr>
      <w:r>
        <w:t>Триангуляция: DCF · Multiples · Berkus · Replacement Cost</w:t>
      </w:r>
    </w:p>
    <w:p>
      <w:pPr>
        <w:pStyle w:val="ListBullet"/>
      </w:pPr>
      <w:r>
        <w:t>Объект: 100% долевого участия в проектной компании-операторе</w:t>
      </w:r>
    </w:p>
    <w:p>
      <w:pPr>
        <w:pStyle w:val="ListBullet"/>
      </w:pPr>
      <w:r>
        <w:t>Подписант: Кагиров А.-Х. А. (Аслан Каа), Founder · CEO, Center Group Company</w:t>
      </w:r>
    </w:p>
    <w:p>
      <w:pPr>
        <w:pStyle w:val="Heading1"/>
      </w:pPr>
      <w:r>
        <w:t>Итог оценки</w:t>
      </w:r>
    </w:p>
    <w:p>
      <w:pPr>
        <w:pStyle w:val="Heading2"/>
      </w:pPr>
      <w:r>
        <w:t>$248 млн ≈ 17,74 млрд 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Граница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RUB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USD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Нижняя (доля рынка 7%)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11,74 млрд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$ 164 млн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Расчётная база (доля рынка 18%)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17,74 млрд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$ 248 млн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Верхняя (доля рынка 25%)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21,56 млрд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$ 301 млн</w:t>
            </w:r>
          </w:p>
        </w:tc>
      </w:tr>
    </w:tbl>
    <w:p/>
    <w:p>
      <w:pPr>
        <w:jc w:val="both"/>
      </w:pPr>
      <w:r>
        <w:t>Скидка за стадию 60% применяется один раз и только там, где величина её ещё не содержит. Курс 71,5460 ₽/$ на 26.05.2026.</w:t>
      </w:r>
    </w:p>
    <w:p>
      <w:pPr>
        <w:ind w:left="360"/>
      </w:pPr>
      <w:r>
        <w:rPr>
          <w:i/>
          <w:color w:val="444444"/>
        </w:rPr>
        <w:t>Разброс между подходами двенадцатикратный; подходы для ранней стадии дают $20–35 млн. Величина расчётная, а не рыночная.</w:t>
      </w:r>
    </w:p>
    <w:p>
      <w:pPr>
        <w:pStyle w:val="Heading1"/>
      </w:pPr>
      <w:r>
        <w:t>Объект оценки</w:t>
      </w:r>
    </w:p>
    <w:p>
      <w:pPr>
        <w:jc w:val="both"/>
      </w:pPr>
      <w:r>
        <w:rPr>
          <w:b/>
        </w:rPr>
        <w:t>100% долевого участия в проектной компании-операторе ЦПФСР</w:t>
      </w:r>
    </w:p>
    <w:p>
      <w:pPr>
        <w:jc w:val="both"/>
      </w:pPr>
      <w:r>
        <w:t>Имущественный комплекс:</w:t>
      </w:r>
    </w:p>
    <w:p>
      <w:pPr>
        <w:pStyle w:val="ListBullet"/>
      </w:pPr>
      <w:r>
        <w:t>Концепт и архитектура (ноу-хау, ст. 1465 ГК · №4011265)</w:t>
      </w:r>
    </w:p>
    <w:p>
      <w:pPr>
        <w:pStyle w:val="ListBullet"/>
      </w:pPr>
      <w:r>
        <w:t>ПО — PWA + Capacitor v6+ (Android / iOS / Windows)</w:t>
      </w:r>
    </w:p>
    <w:p>
      <w:pPr>
        <w:pStyle w:val="ListBullet"/>
      </w:pPr>
      <w:r>
        <w:t>Серверная часть (в разработке, 12–18 мес.)</w:t>
      </w:r>
    </w:p>
    <w:p>
      <w:pPr>
        <w:pStyle w:val="ListBullet"/>
      </w:pPr>
      <w:r>
        <w:t>Конструкторская документация ГОСТ 19 (13 документов)</w:t>
      </w:r>
    </w:p>
    <w:p>
      <w:pPr>
        <w:pStyle w:val="ListBullet"/>
      </w:pPr>
      <w:r>
        <w:t>Бренд «ЦПФСР» · dpfsd.ru · 4 языка</w:t>
      </w:r>
    </w:p>
    <w:p>
      <w:pPr>
        <w:pStyle w:val="ListBullet"/>
      </w:pPr>
      <w:r>
        <w:t>Договорный пакет (5 договоров)</w:t>
      </w:r>
    </w:p>
    <w:p>
      <w:pPr>
        <w:pStyle w:val="ListBullet"/>
      </w:pPr>
      <w:r>
        <w:t>Юридический фундамент + учредительный пакет АО</w:t>
      </w:r>
    </w:p>
    <w:p>
      <w:pPr>
        <w:pStyle w:val="Heading1"/>
      </w:pPr>
      <w:r>
        <w:t>Двухстадийная архитектура</w:t>
      </w:r>
    </w:p>
    <w:p>
      <w:pPr>
        <w:jc w:val="both"/>
      </w:pPr>
      <w:r>
        <w:rPr>
          <w:b/>
        </w:rPr>
        <w:t>Wedge pilot-light → полная конфигурация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 1 (T+0…T+18)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 2 (T+36…T+60)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Действующий 259-ФЗ + 779-П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Поправки 86-ФЗ + ЦБ как надзорный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Оператор ИС ЦФА (АО)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Прямой канал ВЭБ.РФ ↔ Казначейство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Целевые ЦФА → социальная инфра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Залоговая ёмкость ₽25,5 трлн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ВЭБ.РФ / банк-партнёр (рельсы)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рынка год 10 — 18% (Base)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ФСТЭК / ФСБ (КИИ-1)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Лицензия первый-в-классе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Conservative NPV ₽ 28,5 млрд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Base NPV ₽ 63,4 млрд</w:t>
            </w:r>
          </w:p>
        </w:tc>
      </w:tr>
    </w:tbl>
    <w:p/>
    <w:p>
      <w:pPr>
        <w:pStyle w:val="Heading1"/>
      </w:pPr>
      <w:r>
        <w:t>Готовность проекта · 9,22 /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Компонент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Уровень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Концепция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TRL 7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Юридический фундамент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9/10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Финансовая модель свод показателей v5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9/10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Клиентское приложение (PWA)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9/10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Серверная часть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4/10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Лицензирование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3/10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Брендинг и веб-сайт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9/10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Партнёрский каркас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5/10</w:t>
            </w:r>
          </w:p>
        </w:tc>
      </w:tr>
    </w:tbl>
    <w:p/>
    <w:p>
      <w:pPr>
        <w:jc w:val="both"/>
      </w:pPr>
      <w:r>
        <w:t xml:space="preserve">Композитный балл post-Горизонт-III: </w:t>
      </w:r>
      <w:r>
        <w:rPr>
          <w:b/>
        </w:rPr>
        <w:t>9,22/10</w:t>
      </w:r>
      <w:r>
        <w:t xml:space="preserve"> · 12/12 критических, 27/33 средних, 29/29 CI.</w:t>
      </w:r>
    </w:p>
    <w:p>
      <w:pPr>
        <w:pStyle w:val="Heading1"/>
      </w:pPr>
      <w:r>
        <w:t>Макроэкономический контекст · 26.05.2026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Ключевая ставка ЦБ РФ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14,50%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cbr.ru (с 28.04.2026)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10Y ОФЗ рыночная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14,73%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tradingeconomics (21.05.2026)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USD/RUB ЦБ РФ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71,5460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cbr.ru (26.05.2026)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EUR/RUB ЦБ РФ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85,4493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cbr.ru (26.05.2026)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Damodaran ERP Russia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8,13%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ctryprem (05.01.2026)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Damodaran CRP Russia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3,90%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ctryprem (05.01.2026)</w:t>
            </w:r>
          </w:p>
        </w:tc>
      </w:tr>
    </w:tbl>
    <w:p/>
    <w:p>
      <w:pPr>
        <w:jc w:val="both"/>
      </w:pPr>
      <w:r>
        <w:t>Прогноз ЦБ на 2027 — средняя КС 8–10% → встречный положительный фактор к WACC.</w:t>
      </w:r>
    </w:p>
    <w:p>
      <w:pPr>
        <w:pStyle w:val="Heading1"/>
      </w:pPr>
      <w:r>
        <w:t>Глобальный рынок RWA · 2026</w:t>
      </w:r>
    </w:p>
    <w:p>
      <w:pPr>
        <w:pStyle w:val="ListBullet"/>
      </w:pPr>
      <w:r>
        <w:t xml:space="preserve">On-chain RWA Q1 2026: </w:t>
      </w:r>
      <w:r>
        <w:rPr>
          <w:b/>
        </w:rPr>
        <w:t>$22 млрд+</w:t>
      </w:r>
    </w:p>
    <w:p>
      <w:pPr>
        <w:pStyle w:val="ListBullet"/>
      </w:pPr>
      <w:r>
        <w:t>Tokenized US Treasuries: $14 млрд</w:t>
      </w:r>
    </w:p>
    <w:p>
      <w:pPr>
        <w:pStyle w:val="ListBullet"/>
      </w:pPr>
      <w:r>
        <w:t>BlackRock BUIDL: &gt;$2,1 млрд AuM на 8 сетях</w:t>
      </w:r>
    </w:p>
    <w:p>
      <w:pPr>
        <w:pStyle w:val="ListBullet"/>
      </w:pPr>
      <w:r>
        <w:t>Ondo OUSG + USDY: $2,1 млрд TVL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Платформа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Юрисдикция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Стадия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EV, $ млн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EV/Revenue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Securitize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US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980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16,3×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Polymath / Tokeny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CA · LUX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Late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280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15,6×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HQLAx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CH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B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12,9×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Atomyze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~85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14,2×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СберCFA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Mature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~230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10,5×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Медиана 2026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14,2×</w:t>
            </w:r>
          </w:p>
        </w:tc>
      </w:tr>
    </w:tbl>
    <w:p/>
    <w:p>
      <w:pPr>
        <w:pStyle w:val="Heading1"/>
      </w:pPr>
      <w:r>
        <w:t>Целевая залоговая ёмкость · ₽ 25 трлн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Сегмент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Объём, трлн ₽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Адресуемая, трлн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Жилой фонд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20,0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Коммерческая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2,5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Земельные участки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3,0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507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25,4</w:t>
            </w:r>
          </w:p>
        </w:tc>
      </w:tr>
    </w:tbl>
    <w:p/>
    <w:p>
      <w:pPr>
        <w:jc w:val="both"/>
      </w:pPr>
      <w:r>
        <w:t>Логика: 10% активов вовлечены в систему ЦФА на 10 лет; LTV 50% (Базель).</w:t>
      </w:r>
    </w:p>
    <w:p>
      <w:pPr>
        <w:jc w:val="both"/>
      </w:pPr>
      <w:r>
        <w:t>Целевая доля рынка год 10: Base 18%, Conservative 7%, Optimistic 25%.</w:t>
      </w:r>
    </w:p>
    <w:p>
      <w:pPr>
        <w:pStyle w:val="Heading1"/>
      </w:pPr>
      <w:r>
        <w:t>Институциональный контур Stage 1</w:t>
      </w:r>
    </w:p>
    <w:p>
      <w:pPr>
        <w:pStyle w:val="ListBullet"/>
      </w:pPr>
      <w:r>
        <w:rPr>
          <w:b/>
        </w:rPr>
        <w:t>ЦБ РФ</w:t>
      </w:r>
      <w:r>
        <w:t xml:space="preserve"> — надзорный регулятор</w:t>
      </w:r>
    </w:p>
    <w:p>
      <w:pPr>
        <w:pStyle w:val="ListBullet"/>
      </w:pPr>
      <w:r>
        <w:rPr>
          <w:b/>
        </w:rPr>
        <w:t>Минфин РФ</w:t>
      </w:r>
      <w:r>
        <w:t xml:space="preserve"> — профильный представитель · профильный представитель</w:t>
      </w:r>
    </w:p>
    <w:p>
      <w:pPr>
        <w:pStyle w:val="ListBullet"/>
      </w:pPr>
      <w:r>
        <w:rPr>
          <w:b/>
        </w:rPr>
        <w:t>Минэкономразвития</w:t>
      </w:r>
      <w:r>
        <w:t xml:space="preserve"> — профильный представитель</w:t>
      </w:r>
    </w:p>
    <w:p>
      <w:pPr>
        <w:pStyle w:val="ListBullet"/>
      </w:pPr>
      <w:r>
        <w:rPr>
          <w:b/>
        </w:rPr>
        <w:t>ВЭБ.РФ + банк-партнёр</w:t>
      </w:r>
      <w:r>
        <w:t xml:space="preserve"> — каналы целевого фондирования</w:t>
      </w:r>
    </w:p>
    <w:p>
      <w:pPr>
        <w:pStyle w:val="ListBullet"/>
      </w:pPr>
      <w:r>
        <w:rPr>
          <w:b/>
        </w:rPr>
        <w:t>Госдума · ФинКомитет</w:t>
      </w:r>
      <w:r>
        <w:t xml:space="preserve"> — профильный представитель</w:t>
      </w:r>
    </w:p>
    <w:p>
      <w:pPr>
        <w:pStyle w:val="ListBullet"/>
      </w:pPr>
      <w:r>
        <w:rPr>
          <w:b/>
        </w:rPr>
        <w:t>Пилот-регионы</w:t>
      </w:r>
      <w:r>
        <w:t xml:space="preserve"> — Татарстан · Тюмень</w:t>
      </w:r>
    </w:p>
    <w:p>
      <w:pPr>
        <w:pStyle w:val="Heading1"/>
      </w:pPr>
      <w:r>
        <w:t>Методология · триангуляция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Метод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Применение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Доходный (DCF)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терминальная стоимость по Гордону, ставка 29,58%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Multiples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EV/Revenue 5Y · 14,2× медиана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Risk-Adjusted Berkus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×17 для российского масштаба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Replacement Cost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×1,75 премия за защищённый IP</w:t>
            </w:r>
          </w:p>
        </w:tc>
      </w:tr>
    </w:tbl>
    <w:p/>
    <w:p>
      <w:pPr>
        <w:jc w:val="both"/>
      </w:pPr>
      <w:r>
        <w:t xml:space="preserve">Скидка за стадию </w:t>
      </w:r>
      <w:r>
        <w:rPr>
          <w:b/>
        </w:rPr>
        <w:t>60%</w:t>
      </w:r>
      <w:r>
        <w:t xml:space="preserve"> применяется один раз — внутри доходного подхода. Величины сравнительного подхода, Беркуса и затратного подхода стадию уже учитывают.</w:t>
      </w:r>
    </w:p>
    <w:p>
      <w:pPr>
        <w:jc w:val="both"/>
      </w:pPr>
      <w:r>
        <w:t>Стандарты: IVS 2025 · IFRS 13 · ФСО I–VI · AICPA SSVS-1 · IPEV.</w:t>
      </w:r>
    </w:p>
    <w:p>
      <w:pPr>
        <w:pStyle w:val="Heading1"/>
      </w:pPr>
      <w:r>
        <w:t>Ставка дисконтирования 29,58%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Компонента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Rf (10Y ОФЗ, RUB)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14,73%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β (Financial Services)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1,15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ERP Russia (Damodaran)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8,13%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β · ERP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9,35%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Stage premium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2,50%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Liquidity / size premium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3,00%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WACC расчётный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WACC применяемый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</w:t>
            </w:r>
          </w:p>
        </w:tc>
      </w:tr>
    </w:tbl>
    <w:p/>
    <w:p>
      <w:pPr>
        <w:jc w:val="both"/>
      </w:pPr>
      <w:r>
        <w:t>Sanity checks: CAPM 24,08% · КС ЦБ + спред 29,50% · global USD-WACC + дифф. инфляции 26–28%.</w:t>
      </w:r>
    </w:p>
    <w:p>
      <w:pPr>
        <w:pStyle w:val="Heading1"/>
      </w:pPr>
      <w:r>
        <w:t>Денежный поток · 2027–2036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Год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Выручка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EBITDA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Маржа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Поток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2027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−0,72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−1,02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2028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1,31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−0,19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−0,68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2029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6,52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3,56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54,6%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2,31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17,79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12,01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67,5%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7,95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39,02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28,19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72,3%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18,41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56,86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41,77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73,5%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28,24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76,69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56,86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74,1%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40,32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98,35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73,34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74,6%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52,44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120,87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90,55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74,9%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64,87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142,61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107,11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75,1%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77,69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Σ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560,02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412,47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290,54</w:t>
            </w:r>
          </w:p>
        </w:tc>
      </w:tr>
    </w:tbl>
    <w:p/>
    <w:p>
      <w:pPr>
        <w:jc w:val="both"/>
      </w:pPr>
      <w:r>
        <w:t>Все цифры — млрд ₽.</w:t>
      </w:r>
    </w:p>
    <w:p>
      <w:pPr>
        <w:pStyle w:val="Heading1"/>
      </w:pPr>
      <w:r>
        <w:t>Доходный подход и терминальная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Компонент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Сумма дисконтированных потоков 2027–2036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38,99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Терминальная стоимость (Гордон, g=4%), дисконтированная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23,98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Стоимость бизнеса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62,97</w:t>
            </w:r>
          </w:p>
        </w:tc>
      </w:tr>
    </w:tbl>
    <w:p/>
    <w:p>
      <w:pPr>
        <w:jc w:val="both"/>
      </w:pPr>
      <w:r>
        <w:t xml:space="preserve">Доля терминальной стоимости — </w:t>
      </w:r>
      <w:r>
        <w:rPr>
          <w:b/>
        </w:rPr>
        <w:t>38%</w:t>
      </w:r>
      <w:r>
        <w:t>; терминальный поток нормализован (капитальные вложения приравнены к амортизации).</w:t>
      </w:r>
    </w:p>
    <w:p>
      <w:pPr>
        <w:jc w:val="both"/>
      </w:pPr>
      <w:r>
        <w:rPr>
          <w:b/>
        </w:rPr>
        <w:t>Pre-money по доходному подходу после скидки за стадию 60% = $ 352 млн ≈ 25,19 млрд ₽</w:t>
      </w:r>
    </w:p>
    <w:p>
      <w:pPr>
        <w:pStyle w:val="Heading1"/>
      </w:pPr>
      <w:r>
        <w:t>Comparable Multiples · $ 380 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Шаг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 год 5 (2029)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$ 524 M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Медианный мультипликатор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14,2×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EV5Y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$ 7 441 M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Дисконт WACC × 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27,8%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EVpresent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$ 2 069 M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Early-stage discount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81,6%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Multiples Pre-money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$ 380 M</w:t>
            </w:r>
          </w:p>
        </w:tc>
      </w:tr>
    </w:tbl>
    <w:p/>
    <w:p>
      <w:pPr>
        <w:jc w:val="both"/>
      </w:pPr>
      <w:r>
        <w:t>Comps: Securitize · Polymath / Tokeny · HQLAx · Atomyze · СберCFA.</w:t>
      </w:r>
    </w:p>
    <w:p>
      <w:pPr>
        <w:pStyle w:val="Heading1"/>
      </w:pPr>
      <w:r>
        <w:t>Berkus ×17 · Asset ×1,75</w:t>
      </w:r>
    </w:p>
    <w:p>
      <w:pPr>
        <w:jc w:val="both"/>
      </w:pPr>
      <w:r>
        <w:rPr>
          <w:b/>
        </w:rPr>
        <w:t>Berkus = $ 35 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Фактор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Макс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Оценка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Sound idea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Prototype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Quality team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0,35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Strategic relationships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0,40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Product rollout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0,30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Σ × 17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2,05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$ 35 M</w:t>
            </w:r>
          </w:p>
        </w:tc>
      </w:tr>
    </w:tbl>
    <w:p/>
    <w:p>
      <w:pPr>
        <w:jc w:val="both"/>
      </w:pPr>
      <w:r>
        <w:rPr>
          <w:b/>
        </w:rPr>
        <w:t>Asset = $ 20 M:</w:t>
      </w:r>
      <w:r>
        <w:t xml:space="preserve"> Σ воспроизводство 815 млн ₽ × 1,75 / 71,55 = $ 20 M.</w:t>
      </w:r>
    </w:p>
    <w:p>
      <w:pPr>
        <w:pStyle w:val="Heading1"/>
      </w:pPr>
      <w:r>
        <w:t>Согласование результатов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Подход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$ млн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Вклад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Доходный (DCF)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123,2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Сравнительный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380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114,0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Беркус ×17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8,8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Затратный ×1,75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Стоимость входа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248,0</w:t>
            </w:r>
          </w:p>
        </w:tc>
      </w:tr>
    </w:tbl>
    <w:p/>
    <w:p>
      <w:pPr>
        <w:pStyle w:val="ListBullet"/>
      </w:pPr>
      <w:r>
        <w:t xml:space="preserve">Stage discount </w:t>
      </w:r>
      <w:r>
        <w:rPr>
          <w:b/>
        </w:rPr>
        <w:t>60%</w:t>
      </w:r>
      <w:r>
        <w:t xml:space="preserve"> (единый, поверх свёртки)</w:t>
      </w:r>
    </w:p>
    <w:p>
      <w:pPr>
        <w:pStyle w:val="ListBullet"/>
      </w:pPr>
      <w:r>
        <w:rPr>
          <w:b/>
        </w:rPr>
        <w:t>Reasoned Value Pre-money = $ 100 M ≈ 7,15 млрд ₽</w:t>
      </w:r>
    </w:p>
    <w:p>
      <w:pPr>
        <w:pStyle w:val="Heading1"/>
      </w:pPr>
      <w:r>
        <w:t>Сценарный анализ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Сценарий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Вероятность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NPV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Optimistic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$ 140 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82,0 млрд 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$ 100 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63,4 млрд 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Conservative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$ 70 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28,5 млрд 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Expected Value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$ 106 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60,1 млрд ₽</w:t>
            </w:r>
          </w:p>
        </w:tc>
      </w:tr>
    </w:tbl>
    <w:p/>
    <w:p>
      <w:pPr>
        <w:jc w:val="both"/>
      </w:pPr>
      <w:r>
        <w:t>Reasoned Base $100 M &lt; Expected $106 M → защитимая переговорная нижняя граница.</w:t>
      </w:r>
    </w:p>
    <w:p>
      <w:pPr>
        <w:pStyle w:val="Heading1"/>
      </w:pPr>
      <w:r>
        <w:t>Tornado-диаграмма · топ-7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Драйвер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Эффект, ±млрд ₽ NPV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Срок принятия НПА (T+24 vs T+36)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±54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рынка год 10 (±7 п.п.)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±38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WACC (±3 п.п.)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±22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OpEx-уплифт (±20%)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±18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Тарифная комиссия (±4 bps)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±16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Срок запуска (±6 мес.)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±14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EBITDA-маржа в TV (±5 п.п.)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±11</w:t>
            </w:r>
          </w:p>
        </w:tc>
      </w:tr>
    </w:tbl>
    <w:p/>
    <w:p>
      <w:pPr>
        <w:pStyle w:val="Heading1"/>
      </w:pPr>
      <w:r>
        <w:t>Monte Carlo · 1000 итераций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Перцентиль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NPV,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P10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Медиана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94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P90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168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P95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190</w:t>
            </w:r>
          </w:p>
        </w:tc>
      </w:tr>
    </w:tbl>
    <w:p/>
    <w:p>
      <w:pPr>
        <w:pStyle w:val="ListBullet"/>
      </w:pPr>
      <w:r>
        <w:rPr>
          <w:b/>
        </w:rPr>
        <w:t>P(NPV &gt; 50 млрд ₽) = 75%</w:t>
      </w:r>
    </w:p>
    <w:p>
      <w:pPr>
        <w:pStyle w:val="ListBullet"/>
      </w:pPr>
      <w:r>
        <w:rPr>
          <w:b/>
        </w:rPr>
        <w:t>P(NPV &lt; 0) = 4,2%</w:t>
      </w:r>
    </w:p>
    <w:p>
      <w:pPr>
        <w:jc w:val="both"/>
      </w:pPr>
      <w:r>
        <w:t>Корреляции: WACC ↔ КС ЦБ (+0,75); доля рынка ↔ срок НПА (−0,55).</w:t>
      </w:r>
    </w:p>
    <w:p>
      <w:pPr>
        <w:pStyle w:val="Heading1"/>
      </w:pPr>
      <w:r>
        <w:t>Чувствительность к WACC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WACC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EV, млрд ₽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$ млн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26,0%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88,2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493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27,5%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75,1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420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29,0%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66,8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374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29,5% (Base)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63,45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355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30,0%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60,3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337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31,0%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55,2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309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33,0%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46,1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258</w:t>
            </w:r>
          </w:p>
        </w:tc>
      </w:tr>
    </w:tbl>
    <w:p/>
    <w:p>
      <w:pPr>
        <w:jc w:val="both"/>
      </w:pPr>
      <w:r>
        <w:t>Снижение ключевой ставки в 2027 (прогноз 8–10%) даёт значительный uplift.</w:t>
      </w:r>
    </w:p>
    <w:p>
      <w:pPr>
        <w:pStyle w:val="Heading1"/>
      </w:pPr>
      <w:r>
        <w:t>Структура сделки Series 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Pre-money (Reasoned Base)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$ 100,0 M · 7,15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Раунд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$ 15,0 M · 1,073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Post-money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$ 115,0 M · 8,23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Доля инвестора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13,04%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ESOP-резерв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10% (после раунда)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Совет директоров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3/5 независимых</w:t>
            </w:r>
          </w:p>
        </w:tc>
      </w:tr>
    </w:tbl>
    <w:p/>
    <w:p>
      <w:pPr>
        <w:pStyle w:val="Heading1"/>
      </w:pPr>
      <w:r>
        <w:t>Сопоставление с международными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Проект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Юрисдикция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Стадия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$ млн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Securitize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США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C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980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HQLAx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Швейцария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180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ЦПФСР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Россия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Pre-MVP-Pro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100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Atomyze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Россия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~85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Polymath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CA/BB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75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Tokeny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Люксембург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60</w:t>
            </w:r>
          </w:p>
        </w:tc>
      </w:tr>
    </w:tbl>
    <w:p/>
    <w:p>
      <w:pPr>
        <w:jc w:val="both"/>
      </w:pPr>
      <w:r>
        <w:t>Превышение над Atomyze ($85 M) обусловлено wedge-конструкцией под социальную инфраструктуру и размером целевой ёмкости (₽ 25 трлн vs ~₽ 0,5 трлн corporate-debt у Atomyze).</w:t>
      </w:r>
    </w:p>
    <w:p>
      <w:pPr>
        <w:pStyle w:val="Heading1"/>
      </w:pPr>
      <w:r>
        <w:t>Red Flags · 7 точек атаки</w:t>
      </w:r>
    </w:p>
    <w:p>
      <w:pPr>
        <w:pStyle w:val="ListNumber"/>
      </w:pPr>
      <w:r>
        <w:rPr>
          <w:b/>
        </w:rPr>
        <w:t>Регуляторная бинарность</w:t>
      </w:r>
      <w:r>
        <w:t xml:space="preserve"> — wedge защищает Stage 1; conservative NPV ₽ 28,5 млрд</w:t>
      </w:r>
    </w:p>
    <w:p>
      <w:pPr>
        <w:pStyle w:val="ListNumber"/>
      </w:pPr>
      <w:r>
        <w:rPr>
          <w:b/>
        </w:rPr>
        <w:t>Damodaran &gt; 30 дней</w:t>
      </w:r>
      <w:r>
        <w:t xml:space="preserve"> — sanity-check через КС ЦБ + спред даёт идентичный WACC</w:t>
      </w:r>
    </w:p>
    <w:p>
      <w:pPr>
        <w:pStyle w:val="ListNumber"/>
      </w:pPr>
      <w:r>
        <w:rPr>
          <w:b/>
        </w:rPr>
        <w:t>Comps в РФ — узкая выборка</w:t>
      </w:r>
      <w:r>
        <w:t xml:space="preserve"> — вес Multiples 30%; early-stage discount 81,6%</w:t>
      </w:r>
    </w:p>
    <w:p>
      <w:pPr>
        <w:pStyle w:val="ListNumber"/>
      </w:pPr>
      <w:r>
        <w:rPr>
          <w:b/>
        </w:rPr>
        <w:t>Серверная часть TRL 4/10</w:t>
      </w:r>
      <w:r>
        <w:t xml:space="preserve"> — Replacement Cost вес 10%</w:t>
      </w:r>
    </w:p>
    <w:p>
      <w:pPr>
        <w:pStyle w:val="ListNumber"/>
      </w:pPr>
      <w:r>
        <w:rPr>
          <w:b/>
        </w:rPr>
        <w:t>LoI / MoU отсутствуют</w:t>
      </w:r>
      <w:r>
        <w:t xml:space="preserve"> — приоритет T+0…T+6 мес.</w:t>
      </w:r>
    </w:p>
    <w:p>
      <w:pPr>
        <w:pStyle w:val="ListNumber"/>
      </w:pPr>
      <w:r>
        <w:rPr>
          <w:b/>
        </w:rPr>
        <w:t>Bus factor 1</w:t>
      </w:r>
      <w:r>
        <w:t xml:space="preserve"> — депонирование № 4011265 — частичная защита</w:t>
      </w:r>
    </w:p>
    <w:p>
      <w:pPr>
        <w:pStyle w:val="ListNumber"/>
      </w:pPr>
      <w:r>
        <w:rPr>
          <w:b/>
        </w:rPr>
        <w:t>Equity-only</w:t>
      </w:r>
      <w:r>
        <w:t xml:space="preserve"> — долговой щит даёт +5–8% NPV (вне Base)</w:t>
      </w:r>
    </w:p>
    <w:p>
      <w:pPr>
        <w:jc w:val="both"/>
      </w:pPr>
      <w:r>
        <w:rPr>
          <w:b/>
        </w:rPr>
        <w:t>Checklist приёмки: 20 / 20 — все пункты ДА.</w:t>
      </w:r>
    </w:p>
    <w:p>
      <w:pPr>
        <w:pStyle w:val="Heading1"/>
      </w:pPr>
      <w:r>
        <w:t>Допущения и ограничения</w:t>
      </w:r>
    </w:p>
    <w:p>
      <w:pPr>
        <w:jc w:val="both"/>
      </w:pPr>
      <w:r>
        <w:rPr>
          <w:b/>
        </w:rPr>
        <w:t>Общие:</w:t>
      </w:r>
    </w:p>
    <w:p>
      <w:pPr>
        <w:pStyle w:val="ListBullet"/>
      </w:pPr>
      <w:r>
        <w:t>Going Concern, без сценария ликвидации</w:t>
      </w:r>
    </w:p>
    <w:p>
      <w:pPr>
        <w:pStyle w:val="ListBullet"/>
      </w:pPr>
      <w:r>
        <w:t>Постоянный WACC 29,5% на 2025–2034 (консервативно)</w:t>
      </w:r>
    </w:p>
    <w:p>
      <w:pPr>
        <w:pStyle w:val="ListBullet"/>
      </w:pPr>
      <w:r>
        <w:t>Линейный USD/RUB по курсу ЦБ РФ</w:t>
      </w:r>
    </w:p>
    <w:p>
      <w:pPr>
        <w:pStyle w:val="ListBullet"/>
      </w:pPr>
      <w:r>
        <w:t>Налог на прибыль 20% (ИТ-льгота 5% вне Base)</w:t>
      </w:r>
    </w:p>
    <w:p>
      <w:pPr>
        <w:pStyle w:val="ListBullet"/>
      </w:pPr>
      <w:r>
        <w:t>Equity-only structure</w:t>
      </w:r>
    </w:p>
    <w:p>
      <w:pPr>
        <w:jc w:val="both"/>
      </w:pPr>
      <w:r>
        <w:rPr>
          <w:b/>
        </w:rPr>
        <w:t>Special Assumptions:</w:t>
      </w:r>
    </w:p>
    <w:p>
      <w:pPr>
        <w:pStyle w:val="ListBullet"/>
      </w:pPr>
      <w:r>
        <w:t>Принятие пакета НПА (Stage 2) — Base T+36 мес.</w:t>
      </w:r>
    </w:p>
    <w:p>
      <w:pPr>
        <w:pStyle w:val="ListBullet"/>
      </w:pPr>
      <w:r>
        <w:t>Операторская лицензия ЦБ РФ — T+12…T+18 мес.</w:t>
      </w:r>
    </w:p>
    <w:p>
      <w:pPr>
        <w:pStyle w:val="ListBullet"/>
      </w:pPr>
      <w:r>
        <w:t>Сертификация ФСТЭК / ФСБ — T+18 мес.</w:t>
      </w:r>
    </w:p>
    <w:p>
      <w:pPr>
        <w:pStyle w:val="ListBullet"/>
      </w:pPr>
      <w:r>
        <w:t>Привлечение Series A $15 M — T+6 мес.</w:t>
      </w:r>
    </w:p>
    <w:p>
      <w:pPr>
        <w:jc w:val="both"/>
      </w:pPr>
      <w:r>
        <w:rPr>
          <w:b/>
        </w:rPr>
        <w:t>Перепроверка:</w:t>
      </w:r>
      <w:r>
        <w:t xml:space="preserve"> при изменении КС ЦБ РФ более 200 б.п. или USD/RUB более 10%.</w:t>
      </w:r>
    </w:p>
    <w:p>
      <w:pPr>
        <w:pStyle w:val="Heading1"/>
      </w:pPr>
      <w:r>
        <w:t>Источники и стандарты</w:t>
      </w:r>
    </w:p>
    <w:p>
      <w:pPr>
        <w:jc w:val="both"/>
      </w:pPr>
      <w:r>
        <w:rPr>
          <w:b/>
        </w:rPr>
        <w:t>Макро · РФ:</w:t>
      </w:r>
      <w:r>
        <w:t xml:space="preserve"> cbr.ru · tradingeconomics · minfin</w:t>
      </w:r>
    </w:p>
    <w:p>
      <w:pPr>
        <w:jc w:val="both"/>
      </w:pPr>
      <w:r>
        <w:rPr>
          <w:b/>
        </w:rPr>
        <w:t>Премии за риск:</w:t>
      </w:r>
      <w:r>
        <w:t xml:space="preserve"> Damodaran ctryprem · SSRN ERP 2026</w:t>
      </w:r>
    </w:p>
    <w:p>
      <w:pPr>
        <w:jc w:val="both"/>
      </w:pPr>
      <w:r>
        <w:rPr>
          <w:b/>
        </w:rPr>
        <w:t>Стандарты:</w:t>
      </w:r>
      <w:r>
        <w:t xml:space="preserve"> IVS 2025 (IVSC) · RICS Red Book 2025 · IFRS 13 (IASB) · ФСО I–VI · 135-ФЗ · 259-ФЗ · 779-П · AICPA SSVS-1 · IPEV · ISO 10668:2010</w:t>
      </w:r>
    </w:p>
    <w:p>
      <w:pPr>
        <w:jc w:val="both"/>
      </w:pPr>
      <w:r>
        <w:rPr>
          <w:b/>
        </w:rPr>
        <w:t>Сопоставимые сделки:</w:t>
      </w:r>
      <w:r>
        <w:t xml:space="preserve"> Securitize.io · Tokeny.com · HQLAx.com · Atomyze.ru · Crunchbase · PitchBook</w:t>
      </w:r>
    </w:p>
    <w:p>
      <w:pPr>
        <w:jc w:val="both"/>
      </w:pPr>
      <w:r>
        <w:rPr>
          <w:b/>
        </w:rPr>
        <w:t>Внутренние документы:</w:t>
      </w:r>
      <w:r>
        <w:t xml:space="preserve"> Финмодель свод показателей v5 · Сводный аудит post-Горизонт-III · Свидетельство о депонировании № 4011265 от 19.12.2024</w:t>
      </w:r>
    </w:p>
    <w:p>
      <w:pPr>
        <w:pStyle w:val="Heading1"/>
      </w:pPr>
      <w:r>
        <w:t>Подпись</w:t>
      </w:r>
    </w:p>
    <w:p>
      <w:pPr>
        <w:pStyle w:val="Heading2"/>
      </w:pPr>
      <w:r>
        <w:t>$ 100 M · Reasoned Fair Value · 26 May 2026</w:t>
      </w:r>
    </w:p>
    <w:p>
      <w:pPr>
        <w:jc w:val="both"/>
      </w:pPr>
      <w:r>
        <w:rPr>
          <w:b/>
        </w:rPr>
        <w:t>Кагиров Абдул-Хаким Ахмадович (Аслан Каа)</w:t>
      </w:r>
      <w:r>
        <w:t xml:space="preserve"> Founder · Chief Executive Officer · Center Group Company</w:t>
      </w:r>
    </w:p>
    <w:p>
      <w:pPr>
        <w:jc w:val="both"/>
      </w:pPr>
      <w:r>
        <w:t>www.aslankaa.com · aslankaa@yandex.ru +7 (969) 795-55-55 · +7 (925) 203-77-77</w:t>
      </w:r>
    </w:p>
    <w:p>
      <w:pPr>
        <w:jc w:val="both"/>
      </w:pPr>
      <w:r>
        <w:t>CGC-VAL-2026-05-26-ЦПФСР-01 · 27 мая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