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Wedge / Pilot-light в действующем 259-ФЗ</w:t>
      </w:r>
    </w:p>
    <w:p>
      <w:pPr>
        <w:jc w:val="both"/>
      </w:pPr>
      <w:r>
        <w:rPr>
          <w:b/>
        </w:rPr>
        <w:t>Документ:</w:t>
      </w:r>
      <w:r>
        <w:t xml:space="preserve"> концепция минимально жизнеспособного контура («wedge») оператора ИС ЦФА, не требующего поправок в 86-ФЗ и НПА уровня цифрового рубля. </w:t>
      </w:r>
      <w:r>
        <w:rPr>
          <w:b/>
        </w:rPr>
        <w:t>Цель:</w:t>
      </w:r>
      <w:r>
        <w:t xml:space="preserve"> закрыть RED-флаг D5 сводного аудита от 24.05.2026 («Wedge / pilot-light версия отсутствует»). </w:t>
      </w:r>
      <w:r>
        <w:rPr>
          <w:b/>
        </w:rPr>
        <w:t>Стратегическая логика:</w:t>
      </w:r>
      <w:r>
        <w:t xml:space="preserve"> не входить в Банк России на первом шаге с конструкцией, требующей пакета 4 ФЗ; войти через wedge-пилот в действующем 259-ФЗ, через альянс институт развития / профильное министерство / банк-партнёр / оператор 779-П; через 18–36 мес. фактической работы — открыть диалог с ЦБ через консолидированную межведомственную позицию. </w:t>
      </w:r>
      <w:r>
        <w:rPr>
          <w:b/>
        </w:rPr>
        <w:t>Дата:</w:t>
      </w:r>
      <w:r>
        <w:t xml:space="preserve"> 24.05.2026.</w:t>
      </w:r>
    </w:p>
    <w:p>
      <w:pPr>
        <w:pStyle w:val="Heading2"/>
      </w:pPr>
      <w:r>
        <w:t>1. Что такое wedge / pilot-light</w:t>
      </w:r>
    </w:p>
    <w:p>
      <w:pPr>
        <w:jc w:val="both"/>
      </w:pPr>
      <w:r>
        <w:t>Wedge — минимальная конфигурация платформы, в которой:</w:t>
      </w:r>
    </w:p>
    <w:p>
      <w:pPr>
        <w:pStyle w:val="ListBullet"/>
      </w:pPr>
      <w:r>
        <w:rPr>
          <w:b/>
        </w:rPr>
        <w:t>Сохраняется ценностное предложение</w:t>
      </w:r>
      <w:r>
        <w:t xml:space="preserve"> (выпуск целевых ЦФА под залог имущества, целевое расходование на проекты социального развития).</w:t>
      </w:r>
    </w:p>
    <w:p>
      <w:pPr>
        <w:pStyle w:val="ListBullet"/>
      </w:pPr>
      <w:r>
        <w:rPr>
          <w:b/>
        </w:rPr>
        <w:t>Снимается главный регуляторный риск</w:t>
      </w:r>
      <w:r>
        <w:t xml:space="preserve"> (отказ от формулировки «целевая эмиссия Банка России»).</w:t>
      </w:r>
    </w:p>
    <w:p>
      <w:pPr>
        <w:pStyle w:val="ListBullet"/>
      </w:pPr>
      <w:r>
        <w:rPr>
          <w:b/>
        </w:rPr>
        <w:t>Замещается источник целевого фондирования</w:t>
      </w:r>
      <w:r>
        <w:t xml:space="preserve"> — вместо эмиссии ЦБ используется существующий канал инфраструктурного финансирования через институт развития / банк-партнёр / профильный институт.</w:t>
      </w:r>
    </w:p>
    <w:p>
      <w:pPr>
        <w:pStyle w:val="ListBullet"/>
      </w:pPr>
      <w:r>
        <w:rPr>
          <w:b/>
        </w:rPr>
        <w:t>Получается базовый юнит-экономический контур</w:t>
      </w:r>
      <w:r>
        <w:t xml:space="preserve"> (выручка от комиссий за выпуск и сервис).</w:t>
      </w:r>
    </w:p>
    <w:p>
      <w:pPr>
        <w:pStyle w:val="ListBullet"/>
      </w:pPr>
      <w:r>
        <w:rPr>
          <w:b/>
        </w:rPr>
        <w:t>Создаётся переговорный артефакт</w:t>
      </w:r>
      <w:r>
        <w:t xml:space="preserve"> для последующего диалога с ЦБ через консолидированную межведомственную позицию.</w:t>
      </w:r>
    </w:p>
    <w:p>
      <w:pPr>
        <w:jc w:val="both"/>
      </w:pPr>
      <w:r>
        <w:t>Этот режим не требует поправок в 86-ФЗ и БК РФ; полностью укладывается в действующее 259-ФЗ + Положение ЦБ №779-П.</w:t>
      </w:r>
    </w:p>
    <w:p>
      <w:pPr>
        <w:pStyle w:val="Heading2"/>
      </w:pPr>
      <w:r>
        <w:t>2. Параметры wedge-пилота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Регион пилота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Республика Татарстан или Тюменская область (выбор по результатам переговоров с региональным правительством)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Тип залогового имущества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Муниципальная и государственная недвижимость (без частных лиц на первом этапе — для минимизации потребительских рисков)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Объём пула первого года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5–10 млрд (50–100 объектов от муниципалитета)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Стартовый партнёр-банк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банк-партнёр (определяется по MoU)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Стартовый страховщик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Согар / Ингосстрах / СОГАЗ-СК (тендер)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Источник целевого фондирования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Инфраструктурные кредиты ВЭБ.РФ (Фабрика проектного финансирования) под государственные гарантии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Регуляторная база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259-ФЗ + 779-П + экспериментальный правовой режим (ЭПР) 258-ФЗ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Срок запуска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Q3 2028 (T+18 мес. от учреждения АО)</w:t>
            </w:r>
          </w:p>
        </w:tc>
      </w:tr>
    </w:tbl>
    <w:p/>
    <w:p>
      <w:pPr>
        <w:pStyle w:val="Heading2"/>
      </w:pPr>
      <w:r>
        <w:t>3. Стейкхолдеры wedge-пилота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Стейкхолдер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Стратегия привлечения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Правительство Татарстана / Тюменской обл.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Заказчик пилота, поставщик муниципальной залоговой базы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MoU; кейс «снижение давления на региональный бюджет»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ВЭБ.РФ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Источник инфраструктурного фондирования; снимает mandate-конфликт с ЦБ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Прямой канал через Фабрику проектного финансирования; названный sponsor — замминистра Минэка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Банк-партнёр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Расчётный банк пилота; партнёр по выпуску ЦФА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с проектным финансированием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Атомайз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Технологическое партнёрство: действующий оператор 779-П — оператор сделки по своей лицензии (лицензия операторов ИС ЦФА индивидуальна и не передаётся, sublease невозможен); ЦП РСФСР — front-end / агент привлечения и оценки залога, KYC/онбординг, технологическая инфраструктура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Двусторонний договор о технологическом партнёрстве; интероперабельность DLT-стека; разделение функционала и доходов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Страховая компания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Покрытие залогового пула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Тендер среди СК с лицензией ЦБ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Минэк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Политический союзник (нацпроекты — их KPI)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Главный канал входа; named sponsor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Минфин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Согласование налоговой позиции; снижение давления на ОФЗ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Запрос в Минфин по ст. 34.2 НК; кейс «внебюджетный канал»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Банк России (надзорный регулятор по ст. 4 86-ФЗ)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Экспериментальный правовой режим (ЭПР), реестр операторов ИС ЦФА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консолидированную межведомственную позицию (не first call)</w:t>
            </w:r>
          </w:p>
        </w:tc>
      </w:tr>
    </w:tbl>
    <w:p/>
    <w:p>
      <w:pPr>
        <w:pStyle w:val="Heading3"/>
      </w:pPr>
      <w:r>
        <w:t>3.1. Champion-map (поимённо, по итогам уточняющего аудита 24.05.2026)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Орган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Поимённый champion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Роль / интерес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Приоритет контакта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Минэкономразвития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  <w:r>
              <w:rPr>
                <w:sz w:val="17"/>
              </w:rPr>
              <w:t>, министр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Главный союзник: KPI по нацпроектам, заинтересован в инструментах ускорения реализации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T+1…T+3 мес. (первая точка входа)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Минфин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  <w:r>
              <w:rPr>
                <w:sz w:val="17"/>
              </w:rPr>
              <w:t>, заместитель министра (внешний долг и долговая политика)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Внебюджетный канал финансирования инфраструктуры — снижение давления на ОФЗ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мес.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Минфин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  <w:r>
              <w:rPr>
                <w:sz w:val="17"/>
              </w:rPr>
              <w:t>, заместитель министра (налоговая политика)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Согласование налоговой позиции по ЦФА (ст. 34.2 НК)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мес.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Государственная Дума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  <w:r>
              <w:rPr>
                <w:sz w:val="17"/>
              </w:rPr>
              <w:t>, председатель Комитета по финансовому рынку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НПА-канал для горизонтной фазы (T+24+); консультативная поддержка по интерпретации 259-ФЗ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T+6…T+12 мес. (для горизонта)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ВЭБ.РФ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ФПФ — специализированные отделы инфраструктурных проектов; LoI/consultative letter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Источник целевого фондирования (Фабрика проектного финансирования по ПП РФ №158)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мес.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Региональные правительства (пилот)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Татарстан</w:t>
            </w:r>
            <w:r>
              <w:rPr>
                <w:sz w:val="17"/>
              </w:rPr>
              <w:t xml:space="preserve"> — профильный представитель (цифровая трансформация); </w:t>
            </w:r>
            <w:r>
              <w:rPr>
                <w:b/>
                <w:sz w:val="17"/>
              </w:rPr>
              <w:t>Тюменская область</w:t>
            </w:r>
            <w:r>
              <w:rPr>
                <w:sz w:val="17"/>
              </w:rPr>
              <w:t xml:space="preserve"> — профильный представитель; </w:t>
            </w:r>
            <w:r>
              <w:rPr>
                <w:b/>
                <w:sz w:val="17"/>
              </w:rPr>
              <w:t>Башкортостан</w:t>
            </w:r>
            <w:r>
              <w:rPr>
                <w:sz w:val="17"/>
              </w:rPr>
              <w:t xml:space="preserve"> — резервный вариант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Поставщики муниципальной залоговой базы; политическая воля для пилота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T+6…T+9 мес. (через MoU)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Банк России (для horizon-фазы)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консолидированную межведомственную позицию Минэк + Минфин + Госдума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Включение института целевой эмиссии в roadmap на T+24+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Только после wedge-track record ≥ 12 мес.</w:t>
            </w:r>
          </w:p>
        </w:tc>
      </w:tr>
    </w:tbl>
    <w:p/>
    <w:p>
      <w:pPr>
        <w:pStyle w:val="Heading2"/>
      </w:pPr>
      <w:r>
        <w:t>4. Шаги запуска wedge-пилота</w:t>
      </w:r>
    </w:p>
    <w:p>
      <w:pPr>
        <w:pStyle w:val="Heading3"/>
      </w:pPr>
      <w:r>
        <w:t>Этап 0 — Подготовительный (T+0…T+3 мес.)</w:t>
      </w:r>
    </w:p>
    <w:p>
      <w:pPr>
        <w:pStyle w:val="ListNumber"/>
      </w:pPr>
      <w:r>
        <w:t xml:space="preserve">Учреждение АО «ЦП РСФСР» (см. </w:t>
      </w:r>
      <w:r>
        <w:rPr>
          <w:rFonts w:ascii="Consolas" w:hAnsi="Consolas"/>
          <w:sz w:val="18"/>
        </w:rPr>
        <w:t>02_Юридический_фундамент/Учреждение_АО_оператора_и_РКН.md</w:t>
      </w:r>
      <w:r>
        <w:t>).</w:t>
      </w:r>
    </w:p>
    <w:p>
      <w:pPr>
        <w:pStyle w:val="ListNumber"/>
      </w:pPr>
      <w:r>
        <w:t>Назначение должностных лиц по 779-П.</w:t>
      </w:r>
    </w:p>
    <w:p>
      <w:pPr>
        <w:pStyle w:val="ListNumber"/>
      </w:pPr>
      <w:r>
        <w:t>Подача в Роспатент / РКН / Росфинмониторинг.</w:t>
      </w:r>
    </w:p>
    <w:p>
      <w:pPr>
        <w:pStyle w:val="Heading3"/>
      </w:pPr>
      <w:r>
        <w:t>Этап 1 — Memo-обёртка и champion search (T+3…T+9 мес.)</w:t>
      </w:r>
    </w:p>
    <w:p>
      <w:pPr>
        <w:pStyle w:val="ListNumber"/>
      </w:pPr>
      <w:r>
        <w:rPr>
          <w:b/>
        </w:rPr>
        <w:t>Memo-обёртка для Минэка / Аппарата Правительства:</w:t>
      </w:r>
      <w:r>
        <w:t xml:space="preserve"> позиционирование как инструмент ускорения нацпроектов (не как монетарная реформа). Формулировка: «целевое фондирование через инфраструктурный контур ВЭБ.РФ / Казначейства с участием Банка России как надзорного регулятора».</w:t>
      </w:r>
    </w:p>
    <w:p>
      <w:pPr>
        <w:pStyle w:val="ListNumber"/>
      </w:pPr>
      <w:r>
        <w:rPr>
          <w:b/>
        </w:rPr>
        <w:t>Champion search:</w:t>
      </w:r>
      <w:r>
        <w:t xml:space="preserve"> найти политического носителя (замминистра Минэка / советник Председателя Правительства). Без champion проект не движется.</w:t>
      </w:r>
    </w:p>
    <w:p>
      <w:pPr>
        <w:pStyle w:val="ListNumber"/>
      </w:pPr>
      <w:r>
        <w:rPr>
          <w:b/>
        </w:rPr>
        <w:t>MoU с одним банком</w:t>
      </w:r>
      <w:r>
        <w:t xml:space="preserve"> (банк-партнёр) и одной страховой компанией.</w:t>
      </w:r>
    </w:p>
    <w:p>
      <w:pPr>
        <w:pStyle w:val="ListNumber"/>
      </w:pPr>
      <w:r>
        <w:rPr>
          <w:b/>
        </w:rPr>
        <w:t>MoU с регионом-пилотом</w:t>
      </w:r>
      <w:r>
        <w:t xml:space="preserve"> (выбор Татарстана / Тюменской обл.).</w:t>
      </w:r>
    </w:p>
    <w:p>
      <w:pPr>
        <w:pStyle w:val="Heading3"/>
      </w:pPr>
      <w:r>
        <w:t>Этап 2 — Регуляторные согласования (T+9…T+15 мес.)</w:t>
      </w:r>
    </w:p>
    <w:p>
      <w:pPr>
        <w:pStyle w:val="ListNumber"/>
      </w:pPr>
      <w:r>
        <w:rPr>
          <w:b/>
        </w:rPr>
        <w:t>Заявка в реестр операторов ИС ЦФА</w:t>
      </w:r>
      <w:r>
        <w:t xml:space="preserve"> Банка России (779-П).</w:t>
      </w:r>
    </w:p>
    <w:p>
      <w:pPr>
        <w:pStyle w:val="ListNumber"/>
      </w:pPr>
      <w:r>
        <w:rPr>
          <w:b/>
        </w:rPr>
        <w:t>Заявка в экспериментальный правовой режим</w:t>
      </w:r>
      <w:r>
        <w:t xml:space="preserve"> Банка России (258-ФЗ).</w:t>
      </w:r>
    </w:p>
    <w:p>
      <w:pPr>
        <w:pStyle w:val="ListNumber"/>
      </w:pPr>
      <w:r>
        <w:rPr>
          <w:b/>
        </w:rPr>
        <w:t>Согласование правил ИС</w:t>
      </w:r>
      <w:r>
        <w:t xml:space="preserve"> (ст. 6 259-ФЗ).</w:t>
      </w:r>
    </w:p>
    <w:p>
      <w:pPr>
        <w:pStyle w:val="ListNumber"/>
      </w:pPr>
      <w:r>
        <w:rPr>
          <w:b/>
        </w:rPr>
        <w:t>Получение профильных сертификатов</w:t>
      </w:r>
      <w:r>
        <w:t xml:space="preserve"> ФСТЭК / ФСБ.</w:t>
      </w:r>
    </w:p>
    <w:p>
      <w:pPr>
        <w:pStyle w:val="ListNumber"/>
      </w:pPr>
      <w:r>
        <w:rPr>
          <w:b/>
        </w:rPr>
        <w:t>Заключение Минфина</w:t>
      </w:r>
      <w:r>
        <w:t xml:space="preserve"> по налоговой позиции (ст. 34.2 НК).</w:t>
      </w:r>
    </w:p>
    <w:p>
      <w:pPr>
        <w:pStyle w:val="Heading3"/>
      </w:pPr>
      <w:r>
        <w:t>Этап 3 — Пилотная фаза (T+15…T+24 мес.)</w:t>
      </w:r>
    </w:p>
    <w:p>
      <w:pPr>
        <w:pStyle w:val="ListNumber"/>
      </w:pPr>
      <w:r>
        <w:rPr>
          <w:b/>
        </w:rPr>
        <w:t>Подключение муниципальной базы пилот-региона</w:t>
      </w:r>
      <w:r>
        <w:t xml:space="preserve"> (50–100 объектов).</w:t>
      </w:r>
    </w:p>
    <w:p>
      <w:pPr>
        <w:pStyle w:val="ListNumber"/>
      </w:pPr>
      <w:r>
        <w:rPr>
          <w:b/>
        </w:rPr>
        <w:t>Первый цикл выпуска целевых ЦФА</w:t>
      </w:r>
      <w:r>
        <w:t xml:space="preserve"> на основе муниципального залогового пула.</w:t>
      </w:r>
    </w:p>
    <w:p>
      <w:pPr>
        <w:pStyle w:val="ListNumber"/>
      </w:pPr>
      <w:r>
        <w:rPr>
          <w:b/>
        </w:rPr>
        <w:t>Целевое фондирование через ВЭБ.РФ</w:t>
      </w:r>
      <w:r>
        <w:t xml:space="preserve"> (Фабрика проектного финансирования) под гарантии региона.</w:t>
      </w:r>
    </w:p>
    <w:p>
      <w:pPr>
        <w:pStyle w:val="ListNumber"/>
      </w:pPr>
      <w:r>
        <w:rPr>
          <w:b/>
        </w:rPr>
        <w:t>Финансирование нацпроекта</w:t>
      </w:r>
      <w:r>
        <w:t xml:space="preserve"> (например, ремонт объектов ЖКХ или строительство социального жилья).</w:t>
      </w:r>
    </w:p>
    <w:p>
      <w:pPr>
        <w:pStyle w:val="ListNumber"/>
      </w:pPr>
      <w:r>
        <w:rPr>
          <w:b/>
        </w:rPr>
        <w:t>Учёт операций</w:t>
      </w:r>
      <w:r>
        <w:t xml:space="preserve"> в действующей правовой архитектуре (без поправок в 86-ФЗ).</w:t>
      </w:r>
    </w:p>
    <w:p>
      <w:pPr>
        <w:pStyle w:val="Heading3"/>
      </w:pPr>
      <w:r>
        <w:t>Этап 4 — Масштабирование (T+24…T+36 мес.)</w:t>
      </w:r>
    </w:p>
    <w:p>
      <w:pPr>
        <w:pStyle w:val="ListNumber"/>
      </w:pPr>
      <w:r>
        <w:rPr>
          <w:b/>
        </w:rPr>
        <w:t>Расширение на 3–5 регионов</w:t>
      </w:r>
      <w:r>
        <w:t xml:space="preserve"> (мультипликация модели).</w:t>
      </w:r>
    </w:p>
    <w:p>
      <w:pPr>
        <w:pStyle w:val="ListNumber"/>
      </w:pPr>
      <w:r>
        <w:rPr>
          <w:b/>
        </w:rPr>
        <w:t>Включение второго типа коллатераля</w:t>
      </w:r>
      <w:r>
        <w:t xml:space="preserve"> (региональная коммерческая недвижимость).</w:t>
      </w:r>
    </w:p>
    <w:p>
      <w:pPr>
        <w:pStyle w:val="ListNumber"/>
      </w:pPr>
      <w:r>
        <w:rPr>
          <w:b/>
        </w:rPr>
        <w:t>Подключение второго банка-партнёра</w:t>
      </w:r>
      <w:r>
        <w:t xml:space="preserve"> (диверсификация).</w:t>
      </w:r>
    </w:p>
    <w:p>
      <w:pPr>
        <w:pStyle w:val="ListNumber"/>
      </w:pPr>
      <w:r>
        <w:rPr>
          <w:b/>
        </w:rPr>
        <w:t>Подключение второй страховой компании</w:t>
      </w:r>
      <w:r>
        <w:t>.</w:t>
      </w:r>
    </w:p>
    <w:p>
      <w:pPr>
        <w:pStyle w:val="ListNumber"/>
      </w:pPr>
      <w:r>
        <w:rPr>
          <w:b/>
        </w:rPr>
        <w:t>Подготовка консолидированной межведомственной позиции</w:t>
      </w:r>
      <w:r>
        <w:t xml:space="preserve"> (ЦБ + Минфин + Минэк + ВЭБ.РФ) для горизонтного входа в Банк России с конструкцией целевого фондирования.</w:t>
      </w:r>
    </w:p>
    <w:p>
      <w:pPr>
        <w:pStyle w:val="Heading3"/>
      </w:pPr>
      <w:r>
        <w:t>Этап 5 — Горизонтная фаза (T+36+ мес.)</w:t>
      </w:r>
    </w:p>
    <w:p>
      <w:pPr>
        <w:pStyle w:val="ListNumber"/>
      </w:pPr>
      <w:r>
        <w:t xml:space="preserve">Через накопленный 18–24-месячный track record wedge-пилота — </w:t>
      </w:r>
      <w:r>
        <w:rPr>
          <w:b/>
        </w:rPr>
        <w:t>входить в Банк России с консолидированной межведомственной позицией</w:t>
      </w:r>
      <w:r>
        <w:t>.</w:t>
      </w:r>
    </w:p>
    <w:p>
      <w:pPr>
        <w:pStyle w:val="ListNumber"/>
      </w:pPr>
      <w:r>
        <w:t>Лоббирование пакета 4 ФЗ (86-ФЗ, 259-ФЗ, БК РФ, ГК) — Минцифры + Минфин + ЦБ + Минэк.</w:t>
      </w:r>
    </w:p>
    <w:p>
      <w:pPr>
        <w:pStyle w:val="ListNumber"/>
      </w:pPr>
      <w:r>
        <w:t>Подзаконные акты, Указание ЦБ, совместный приказ Минфин / ЦБ / Минцифры / Росреестр / ФК.</w:t>
      </w:r>
    </w:p>
    <w:p>
      <w:pPr>
        <w:pStyle w:val="ListNumber"/>
      </w:pPr>
      <w:r>
        <w:t>Полномасштабный запуск с конструкцией целевого фондирования.</w:t>
      </w:r>
    </w:p>
    <w:p>
      <w:pPr>
        <w:pStyle w:val="Heading2"/>
      </w:pPr>
      <w:r>
        <w:t>5. Финансовая логика wedge-пилота</w:t>
      </w:r>
    </w:p>
    <w:p>
      <w:pPr>
        <w:pStyle w:val="Heading3"/>
      </w:pPr>
      <w:r>
        <w:t>5.1. Юнит-экономика пилота год 1 (2028)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Залоговый пул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50 объектов × ₽ 100 млн = </w:t>
            </w:r>
            <w:r>
              <w:rPr>
                <w:b/>
                <w:sz w:val="17"/>
              </w:rPr>
              <w:t>₽ 5 млрд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Выпущенные ЦФА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5 млрд номинал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Комиссия за выпуск (0,5%)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25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Сервисная комиссия за год (0,3% от стека)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15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Платформенный сбор за оценку/страх. (0,15%)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7,5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и страхование — собственная маржа (0,12% от объёма)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6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Выручка год 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 ₽ 53,5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Справочно: валовые сборы (с транзитом оценщикам и страховщикам)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87,5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Расходы года на пилотный контур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₽ 70 млн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EBITDA года по пилотному контуру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≈ −₽ 16,5 млн</w:t>
            </w:r>
          </w:p>
        </w:tc>
      </w:tr>
    </w:tbl>
    <w:p/>
    <w:p>
      <w:pPr>
        <w:ind w:left="360"/>
      </w:pPr>
      <w:r>
        <w:rPr>
          <w:i/>
          <w:color w:val="444444"/>
        </w:rPr>
        <w:t>Валовые сборы включают ₽ 34 млн, которые платформа передаёт оценщикам и страховщикам. Показывать их как собственную выручку нельзя: платформа выступает агентом и оставляет себе 15% этого тарифа. По этой причине пилот в первый год убыточен на уровне собственного контура — это согласуется с основной моделью, где EBITDA первого года с выпусками отрицательна.</w:t>
      </w:r>
    </w:p>
    <w:p>
      <w:pPr>
        <w:pStyle w:val="Heading3"/>
      </w:pPr>
      <w:r>
        <w:t>5.2. Масштабирование пилота</w:t>
      </w:r>
    </w:p>
    <w:p>
      <w:pPr>
        <w:jc w:val="both"/>
      </w:pPr>
      <w:r>
        <w:t>Масштабирование wedge-контура соответствует консервативному сценарию финансовой модели (доля рынка года 10 — 7%). Цифры взяты из расчёта, а не оценены отдельно: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Год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Объём выпуска, млрд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Выручка, млрд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EBITDA, млрд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Маржа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2028 (пилот)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43,7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0,54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−0,80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2029 (расширение)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204,7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2,65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0,54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20,4%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2030 (расширение)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520,5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7,13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3,70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51,8%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2031 (горизонтная фаза)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1 082,6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15,49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9,84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63,5%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2036 (год 10)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2 694,0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56,16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39,68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70,7%</w:t>
            </w:r>
          </w:p>
        </w:tc>
      </w:tr>
    </w:tbl>
    <w:p/>
    <w:p>
      <w:pPr>
        <w:pStyle w:val="Heading3"/>
      </w:pPr>
      <w:r>
        <w:t>5.3. Cash-runway пилота</w:t>
      </w:r>
    </w:p>
    <w:p>
      <w:pPr>
        <w:jc w:val="both"/>
      </w:pPr>
      <w:r>
        <w:t>Стартовое финансирование распределяется:</w:t>
      </w:r>
    </w:p>
    <w:p>
      <w:pPr>
        <w:pStyle w:val="ListBullet"/>
      </w:pPr>
      <w:r>
        <w:t>720 млн ₽ — капитальные вложения первых 18 месяцев (платформа, центры обработки</w:t>
      </w:r>
    </w:p>
    <w:p>
      <w:pPr>
        <w:jc w:val="both"/>
      </w:pPr>
      <w:r>
        <w:t>данных, лицензии).</w:t>
      </w:r>
    </w:p>
    <w:p>
      <w:pPr>
        <w:pStyle w:val="ListBullet"/>
      </w:pPr>
      <w:r>
        <w:t>722 млн ₽ — операционные расходы первого года, включая фонд оплаты труда 40 человек.</w:t>
      </w:r>
    </w:p>
    <w:p>
      <w:pPr>
        <w:pStyle w:val="ListBullet"/>
      </w:pPr>
      <w:r>
        <w:t>остальное — операционный дефицит второго года, оборотный капитал и резерв.</w:t>
      </w:r>
    </w:p>
    <w:p>
      <w:pPr>
        <w:jc w:val="both"/>
      </w:pPr>
      <w:r>
        <w:rPr>
          <w:b/>
        </w:rPr>
        <w:t>Потребность в финансировании.</w:t>
      </w:r>
      <w:r>
        <w:t xml:space="preserve"> В базовом сценарии пик приходится на конец 2028 года и составляет 1 701 млн ₽; в консервативном (wedge) — 2 277 млн ₽, поскольку выручка растёт медленнее при тех же расходах. Заявленный раунд 1,8 млрд ₽ покрывает базовый сценарий с запасом и консервативный — на 79%; остаток закрывается промежуточным траншем. Единая величина по проекту — </w:t>
      </w:r>
      <w:r>
        <w:rPr>
          <w:rFonts w:ascii="Consolas" w:hAnsi="Consolas"/>
          <w:sz w:val="18"/>
        </w:rPr>
        <w:t>_Мастер/Единые_показатели_v2.md</w:t>
      </w:r>
      <w:r>
        <w:t>.</w:t>
      </w:r>
    </w:p>
    <w:p>
      <w:pPr>
        <w:pStyle w:val="Heading2"/>
      </w:pPr>
      <w:r>
        <w:t>6. Конкурентный анализ wedge-пилота</w:t>
      </w:r>
    </w:p>
    <w:p>
      <w:pPr>
        <w:jc w:val="both"/>
      </w:pPr>
      <w:r>
        <w:t>Аудит D-2 указал на конкурентов, не отражённых в DD. В wedge-стратегии — кооптация: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Конкурент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Wedge-стратегия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Atomyze, Masterchain, Лайтхаус, Сбер ЦФА, Альфа ЦФА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Кооптация через консорциум-модель. один из действующих операторов реестра 779-П (оператор сделки по своей лицензии 779-П — лицензия не передаётся между ЮЛ; разделение функционала: ЦП РСФСР — front-end/агент, Атомайз — оператор), остальные включены в роадмап как поставщики DLT-инфраструктуры или комплементарные сервисы.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Мосбиржа / СПБ Биржа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конкурент в wedge-фазе (не работают с залоговой недвижимостью). Партнёр на вторичном рынке ЦФА.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ВЭБ.РФ Платформа «РОИВ» и «Фабрика проектного финансирования»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Не конкурент, а источник целевого фондирования</w:t>
            </w:r>
            <w:r>
              <w:rPr>
                <w:sz w:val="17"/>
              </w:rPr>
              <w:t xml:space="preserve"> в wedge. ВЭБ.РФ становится центральным союзником.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ДОМ.РФ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Партнёр по токенизации недвижимости (специализация на жилом секторе). MoU после пилота.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Atomyze + Норникель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Защита от «убийцы» — раннее технологическое партнёрство (оператор сделки + соглашение об интероперабельности; без передачи лицензии).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Цифровой рубль (340-ФЗ)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Архитектурный комплемент: ЦП РСФСР работает с залоговым обеспечением; цифровой рубль — расчётный инструмент. Не конкурент.</w:t>
            </w:r>
          </w:p>
        </w:tc>
      </w:tr>
    </w:tbl>
    <w:p/>
    <w:p>
      <w:pPr>
        <w:pStyle w:val="Heading2"/>
      </w:pPr>
      <w:r>
        <w:t>7. Защита от mandate-конфликта</w:t>
      </w:r>
    </w:p>
    <w:p>
      <w:pPr>
        <w:jc w:val="both"/>
      </w:pPr>
      <w:r>
        <w:t xml:space="preserve">Главное преимущество wedge: </w:t>
      </w:r>
      <w:r>
        <w:rPr>
          <w:b/>
        </w:rPr>
        <w:t>проект не входит в ЦБ с запросом на эмиссию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Аргумент против ЦБ-mandate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Wedge-ответ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ЦБ не имеет полномочий по целевой эмиссии (ст. 4, 22, 75 86-ФЗ)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wedge — целевое фондирование через ВЭБ.РФ / Казначейство, не требует поправок в 86-ФЗ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Эмиссия рублей под неликвидный коллатераль — QE со скрытым кредитным риском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wedge — фондирование через ВЭБ.РФ под государственные гарантии региона; кредитный риск на балансе ВЭБ.РФ, а не ЦБ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Двойной счёт обеспечения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wedge — отсутствует: ВЭБ.РФ выдаёт реальный кредит против реального залога; ЦФА — расчётный инструмент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Регуляторная бинарность (10 НПА — политический проект)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wedge — не требуется ни одной поправки в действующее законодательство; только согласования внутри 259-ФЗ и 258-ФЗ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Срок до первого выпуска ЦФА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В wedge — </w:t>
            </w:r>
            <w:r>
              <w:rPr>
                <w:b/>
                <w:sz w:val="17"/>
              </w:rPr>
              <w:t>T+18 мес. от учреждения АО</w:t>
            </w:r>
            <w:r>
              <w:rPr>
                <w:sz w:val="17"/>
              </w:rPr>
              <w:t xml:space="preserve"> (единый срок: см. п. 2 заголовок Q3 2027); этапы § 4 откалиброваны под этот KPI. Горизонтная фаза с пакетом НПА — T+36…T+60 мес. реалистично</w:t>
            </w:r>
          </w:p>
        </w:tc>
      </w:tr>
    </w:tbl>
    <w:p/>
    <w:p>
      <w:pPr>
        <w:pStyle w:val="Heading2"/>
      </w:pPr>
      <w:r>
        <w:t>8. Ключевые success-критерии wedge-пилота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Срок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Учреждение АО + назначение должностных лиц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 779-П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с регионом-пилотом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Подписано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T+9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MoU с банком и СК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Подписано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T+9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Включение в реестр операторов ИС ЦФА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Получено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Разрешение на экспериментальный правовой режим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Получено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Первый цикл выпуска целевых ЦФА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₽ 5 млрд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T+18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Первое целевое фондирование через ВЭБ.РФ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₽ 5 млрд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T+19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Расширение на 3 региона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T+24 мес.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Консолидированная межведомственная позиция для входа в ЦБ с пакетом НПА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Подписано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T+30 мес.</w:t>
            </w:r>
          </w:p>
        </w:tc>
      </w:tr>
    </w:tbl>
    <w:p/>
    <w:p>
      <w:pPr>
        <w:pStyle w:val="Heading2"/>
      </w:pPr>
      <w:r>
        <w:t>9. Что wedge-пилот меняет в финансовой модели</w:t>
      </w:r>
    </w:p>
    <w:p>
      <w:pPr>
        <w:jc w:val="both"/>
      </w:pPr>
      <w:r>
        <w:rPr>
          <w:b/>
        </w:rPr>
        <w:t>Финансовая модель</w:t>
      </w:r>
      <w:r>
        <w:t xml:space="preserve"> (</w:t>
      </w:r>
      <w:r>
        <w:rPr>
          <w:rFonts w:ascii="Consolas" w:hAnsi="Consolas"/>
          <w:sz w:val="18"/>
        </w:rPr>
        <w:t>03_Финансовая_модель/Финансовая_модель_ЦП_РСФСР.md</w:t>
      </w:r>
      <w:r>
        <w:t>) учитывает wedge-режим в Conservative-сценарии:</w:t>
      </w:r>
    </w:p>
    <w:p>
      <w:pPr>
        <w:pStyle w:val="ListBullet"/>
      </w:pPr>
      <w:r>
        <w:t>Доля рынка год 10 — 7% (вместо 18% в базовом сценарии).</w:t>
      </w:r>
    </w:p>
    <w:p>
      <w:pPr>
        <w:pStyle w:val="ListBullet"/>
      </w:pPr>
      <w:r>
        <w:t>Стоимость бизнеса — 20,1 млрд ₽ (вместо 63,0 млрд ₽ в базовом).</w:t>
      </w:r>
    </w:p>
    <w:p>
      <w:pPr>
        <w:pStyle w:val="ListBullet"/>
      </w:pPr>
      <w:r>
        <w:t>Окупаемость — 3,94 года (вместо 2,73 в базовом).</w:t>
      </w:r>
    </w:p>
    <w:p>
      <w:pPr>
        <w:pStyle w:val="ListBullet"/>
      </w:pPr>
      <w:r>
        <w:t>Пиковая потребность в финансировании — 2 277 млн ₽ (вместо 1 701 млн ₽).</w:t>
      </w:r>
    </w:p>
    <w:p>
      <w:pPr>
        <w:jc w:val="both"/>
      </w:pPr>
      <w:r>
        <w:rPr>
          <w:b/>
        </w:rPr>
        <w:t>Conservative-сценарий wedge — это floor</w:t>
      </w:r>
      <w:r>
        <w:t>, ниже которого проект не падает даже при полном отказе от пакета НПА.</w:t>
      </w:r>
    </w:p>
    <w:p>
      <w:pPr>
        <w:pStyle w:val="Heading2"/>
      </w:pPr>
      <w:r>
        <w:t>10. Итог</w:t>
      </w:r>
    </w:p>
    <w:p>
      <w:pPr>
        <w:jc w:val="both"/>
      </w:pPr>
      <w:r>
        <w:t xml:space="preserve">Wedge / pilot-light в действующем 259-ФЗ — </w:t>
      </w:r>
      <w:r>
        <w:rPr>
          <w:b/>
        </w:rPr>
        <w:t>необходимый стратегический разворот</w:t>
      </w:r>
      <w:r>
        <w:t xml:space="preserve"> по итогам аудита D5. Делает проект:</w:t>
      </w:r>
    </w:p>
    <w:p>
      <w:pPr>
        <w:pStyle w:val="ListBullet"/>
      </w:pPr>
      <w:r>
        <w:rPr>
          <w:b/>
        </w:rPr>
        <w:t>Регуляторно реалистичным</w:t>
      </w:r>
      <w:r>
        <w:t xml:space="preserve"> (не требует пакета 4 ФЗ для запуска).</w:t>
      </w:r>
    </w:p>
    <w:p>
      <w:pPr>
        <w:pStyle w:val="ListBullet"/>
      </w:pPr>
      <w:r>
        <w:rPr>
          <w:b/>
        </w:rPr>
        <w:t>Политически нейтральным</w:t>
      </w:r>
      <w:r>
        <w:t xml:space="preserve"> (не угрожает мандату ЦБ).</w:t>
      </w:r>
    </w:p>
    <w:p>
      <w:pPr>
        <w:pStyle w:val="ListBullet"/>
      </w:pPr>
      <w:r>
        <w:rPr>
          <w:b/>
        </w:rPr>
        <w:t>Финансово защищённым</w:t>
      </w:r>
      <w:r>
        <w:t xml:space="preserve"> (стоимость бизнеса 20,1 млрд ₽ при полном отказе от пакета поправок).</w:t>
      </w:r>
    </w:p>
    <w:p>
      <w:pPr>
        <w:pStyle w:val="ListBullet"/>
      </w:pPr>
      <w:r>
        <w:rPr>
          <w:b/>
        </w:rPr>
        <w:t>Переговорно сильным</w:t>
      </w:r>
      <w:r>
        <w:t xml:space="preserve"> (через 24 мес. фактической работы — консолидированная позиция для входа в ЦБ с пакетом НПА).</w:t>
      </w:r>
    </w:p>
    <w:p>
      <w:pPr>
        <w:jc w:val="both"/>
      </w:pPr>
      <w:r>
        <w:t>Это финальный артефакт, закрывающий стратегический RED-флаг D5.</w:t>
      </w:r>
    </w:p>
    <w:p>
      <w:pPr>
        <w:jc w:val="both"/>
      </w:pPr>
      <w:r>
        <w:rPr>
          <w:b/>
        </w:rPr>
        <w:t>Дата подготовки:</w:t>
      </w:r>
      <w:r>
        <w:t xml:space="preserve"> 24.05.2026. </w:t>
      </w:r>
      <w:r>
        <w:rPr>
          <w:b/>
        </w:rPr>
        <w:t>Финансовая часть пересчитана:</w:t>
      </w:r>
      <w:r>
        <w:t xml:space="preserve"> 07.09.2026 (редакция модели v5). </w:t>
      </w:r>
      <w:r>
        <w:rPr>
          <w:b/>
        </w:rPr>
        <w:t>Подготовлено:</w:t>
      </w:r>
      <w:r>
        <w:t xml:space="preserve"> в рамках исправления RED-флагов сводного аудита; согласовано с финмоделью и юридическим фундаментом.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