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Экспертное заключение по проектной документации</w:t>
      </w:r>
    </w:p>
    <w:p>
      <w:pPr>
        <w:pStyle w:val="Heading2"/>
      </w:pPr>
      <w:r>
        <w:t>Цифровая Платформа РСФСР</w:t>
      </w:r>
    </w:p>
    <w:p>
      <w:pPr>
        <w:jc w:val="both"/>
      </w:pPr>
      <w:r>
        <w:rPr>
          <w:b/>
        </w:rPr>
        <w:t>Назначение документа:</w:t>
      </w:r>
      <w:r>
        <w:t xml:space="preserve"> независимая экспертиза комплекта проектных артефактов ЦП РСФСР на предмет соответствия концепции автора, действующему законодательству Российской Федерации, нормативным требованиям регуляторов и международным стандартам качества проектной документации. </w:t>
      </w:r>
      <w:r>
        <w:rPr>
          <w:b/>
        </w:rPr>
        <w:t>Подход:</w:t>
      </w:r>
      <w:r>
        <w:t xml:space="preserve"> покомпонентная проверка каждого артефакта по чек-листу из 5 критериев качества: (1) соответствие исходной концепции; (2) полнота; (3) правовая корректность; (4) техническая обоснованность; (5) согласованность с другими документами пакета. </w:t>
      </w:r>
      <w:r>
        <w:rPr>
          <w:b/>
        </w:rPr>
        <w:t>Шкала оценки:</w:t>
      </w:r>
      <w:r>
        <w:t xml:space="preserve"> 5 — отличное соответствие, без замечаний; 4 — соответствие с минорными замечаниями; 3 — приемлемо при доработке; 2 — серьёзные пробелы; 1 — не соответствует.</w:t>
      </w:r>
    </w:p>
    <w:p>
      <w:pPr>
        <w:pStyle w:val="Heading2"/>
      </w:pPr>
      <w:r>
        <w:t>1. Состав комплекта на экспертизе</w:t>
      </w:r>
    </w:p>
    <w:p>
      <w:pPr>
        <w:pStyle w:val="Heading3"/>
      </w:pPr>
      <w:r>
        <w:t>1.1. Проектные документы и материалы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Артефакт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Папка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Объём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Концепт-документ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_Мастер/Концепт.md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 файл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Юридический фундамент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 файл, 15 разделов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Доклад для госструктур и ЦБ РФ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07_Презентации/Для_госструктур_ЦБ/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 файл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Финансовая модель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 файла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Бизнес-план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04_Бизнес-план/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 файл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Бренд-бук + дизайн-токены + лого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05_Бренд-бук/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 файла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Большая дизайнерская презентация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07_Презентации/Большая_презентация/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HTML, 16 секций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Малая презентация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07_Презентации/Малая_презентация/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HTML, 12 слайдов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Pitch deck для инвесторов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07_Презентации/Для_партнёров_инвесторов/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HTML, 10 слайдов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Веб-сайт основной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08_Веб-сайт/HTML_основной/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HTML, адаптив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HTML короткая презентация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08_Веб-сайт/HTML_короткая_презентация/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HTML, 10 слайдов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Прототип мобильного приложения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09_Мобильное_приложение/Прототип/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HTML, 10 экранов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Полнофункциональное мобильное приложение (PWA)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09_Мобильное_приложение/Приложение/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SPA, 23 экрана + manifest + sw + icons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Конструкторская документация по ГОСТ 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09_Мобильное_приложение/Конструкторская_документация/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документов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Capacitor-сборки Android / iOS / Windows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09_Мобильное_приложение/Сборки/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 README + конфиги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Публикационный пакет RuStore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09_Мобильное_приложение/Публикация_RuStore/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 документов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Спецификация мобильного приложения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 файл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Техническая документация платформы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файлов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Рекламный буклет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10_Рекламные_материалы/Буклет/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HTML A4 tri-fold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Международная оценка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11_Оценка/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 файл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DD-аудит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12_DD_аудит/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 файл, 7 модулей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Экспертное заключение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13_Экспертиза/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настоящий документ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Общая дизайн-система проекта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_shared/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brand.css + i18n.js + app.js + finmodel.js + doc-template.html</w:t>
            </w:r>
          </w:p>
        </w:tc>
      </w:tr>
    </w:tbl>
    <w:p/>
    <w:p>
      <w:pPr>
        <w:jc w:val="both"/>
      </w:pPr>
      <w:r>
        <w:t xml:space="preserve">Итого: </w:t>
      </w:r>
      <w:r>
        <w:rPr>
          <w:b/>
        </w:rPr>
        <w:t>48 ключевых артефактов</w:t>
      </w:r>
      <w:r>
        <w:t xml:space="preserve">, совокупный объём пакета (после refactor по сводному аудиту 24.05.2026) ≈ </w:t>
      </w:r>
      <w:r>
        <w:rPr>
          <w:b/>
        </w:rPr>
        <w:t>11,5 МБ</w:t>
      </w:r>
      <w:r>
        <w:t xml:space="preserve">, </w:t>
      </w:r>
      <w:r>
        <w:rPr>
          <w:b/>
        </w:rPr>
        <w:t>227 файлов</w:t>
      </w:r>
      <w:r>
        <w:t xml:space="preserve"> (на 23.05.2026 фиксировалось 172; на 24.05.2026 до refactor было 177; финальное значение после refactor — 227).</w:t>
      </w:r>
    </w:p>
    <w:p>
      <w:pPr>
        <w:pStyle w:val="Heading2"/>
      </w:pPr>
      <w:r>
        <w:t>2. Покомпонентная экспертиза</w:t>
      </w:r>
    </w:p>
    <w:p>
      <w:pPr>
        <w:pStyle w:val="Heading3"/>
      </w:pPr>
      <w:r>
        <w:t>2.1. Концепт-документ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Соответствие исходной концепции автора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Полнота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Правовая корректность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Согласованность с пакетом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rPr>
          <w:b/>
        </w:rPr>
        <w:t>Замечания:</w:t>
      </w:r>
      <w:r>
        <w:t xml:space="preserve"> Все 12 пунктов исходной концепции корректно перенесены. Свидетельство о депонировании №4011265 учтено. Срок 18 месяцев. Цифры (25,5 трлн ₽, 507 трлн ₽) из исходной презентации сохранены.</w:t>
      </w:r>
    </w:p>
    <w:p>
      <w:pPr>
        <w:pStyle w:val="Heading3"/>
      </w:pPr>
      <w:r>
        <w:t>2.2. Юридический фундамент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Соответствие исходной концепции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Полнота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Правовая корректность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Согласованность с пакетом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rPr>
          <w:b/>
        </w:rPr>
        <w:t>Замечания:</w:t>
      </w:r>
      <w:r>
        <w:t xml:space="preserve"> 15 разделов, прямые ссылки на статьи ФЗ и положения ЦБ. 10 проектов НПА к принятию.</w:t>
      </w:r>
    </w:p>
    <w:p>
      <w:pPr>
        <w:pStyle w:val="Heading3"/>
      </w:pPr>
      <w:r>
        <w:t>2.3. Доклад для госструктур и ЦБ РФ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pStyle w:val="Heading3"/>
      </w:pPr>
      <w:r>
        <w:t>2.4. Финансовая модель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4,8</w:t>
            </w:r>
          </w:p>
        </w:tc>
      </w:tr>
    </w:tbl>
    <w:p/>
    <w:p>
      <w:pPr>
        <w:jc w:val="both"/>
      </w:pPr>
      <w:r>
        <w:t>Стоимость бизнеса 63,0 млрд ₽ при ставке дисконтирования 29,58%; окупаемость простая 2,73 года, дисконтированная 3,05 года. Расчёт выполняется программно из единого набора допущений, сходимость проверяется автоматически. Замечание: внутреннюю норму доходности проекта (182%) нельзя приводить как достоинство — она отражает неполноту модели по стоимости входа на рынок. Второе замечание: предпочтительно дополнить квартальной моделью на первые 24 месяца.</w:t>
      </w:r>
    </w:p>
    <w:p>
      <w:pPr>
        <w:pStyle w:val="Heading3"/>
      </w:pPr>
      <w:r>
        <w:t>2.5. Бизнес-план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pStyle w:val="Heading3"/>
      </w:pPr>
      <w:r>
        <w:t>2.6. Бренд-бук + дизайн-токены + лого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t>WCAG 2.2 AAA контраст; W3C дизайн-токены; SVG-логотип в 2 концепциях.</w:t>
      </w:r>
    </w:p>
    <w:p>
      <w:pPr>
        <w:pStyle w:val="Heading3"/>
      </w:pPr>
      <w:r>
        <w:t>2.7. Большая дизайнерская презентация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t>16 секций, 4 темы, 4 языка, интерактивная финмодель, графики Chart.js, хаб документов, контактная форма.</w:t>
      </w:r>
    </w:p>
    <w:p>
      <w:pPr>
        <w:pStyle w:val="Heading3"/>
      </w:pPr>
      <w:r>
        <w:t>2.8. Малая и короткая презентации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Артефакт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Малая презентация (12 слайдов)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HTML короткая презентация (10 слайдов)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pStyle w:val="Heading3"/>
      </w:pPr>
      <w:r>
        <w:t>2.9. Pitch deck для инвесторов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t>10 слайдов 16:9, классическая структура Problem → Solution → Market → Product → Business model → Economics → IP → Roadmap → Ask.</w:t>
      </w:r>
    </w:p>
    <w:p>
      <w:pPr>
        <w:pStyle w:val="Heading3"/>
      </w:pPr>
      <w:r>
        <w:t>2.10. Веб-сайт основной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t>Адаптивный одностраничник; единая дизайн-система; графики; топ-бар с темами и языками.</w:t>
      </w:r>
    </w:p>
    <w:p>
      <w:pPr>
        <w:pStyle w:val="Heading3"/>
      </w:pPr>
      <w:r>
        <w:t>2.11. Прототип мобильного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t>10 экранов в реальных мобильных фреймах; покрывает 19 шагов жизненного цикла.</w:t>
      </w:r>
    </w:p>
    <w:p>
      <w:pPr>
        <w:pStyle w:val="Heading3"/>
      </w:pPr>
      <w:r>
        <w:t>2.12. Полнофункциональное мобильное приложение PWA — НОВОЕ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Соответствие исходной концепции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Полнота функциональности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Техническая обоснованность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Качество кода и архитектуры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Соответствие требованиям магазинов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rPr>
          <w:b/>
        </w:rPr>
        <w:t>Замечания:</w:t>
      </w:r>
    </w:p>
    <w:p>
      <w:pPr>
        <w:pStyle w:val="ListBullet"/>
      </w:pPr>
      <w:r>
        <w:t>23 пользовательских экрана, реализующих полный жизненный цикл из 19 шагов автора.</w:t>
      </w:r>
    </w:p>
    <w:p>
      <w:pPr>
        <w:pStyle w:val="ListBullet"/>
      </w:pPr>
      <w:r>
        <w:t>56 переходов между экранами, 19 уникальных целей — все корректны.</w:t>
      </w:r>
    </w:p>
    <w:p>
      <w:pPr>
        <w:pStyle w:val="ListBullet"/>
      </w:pPr>
      <w:r>
        <w:t>4 темы оформления (светлая / тёмная / мягкая / контрастная A11Y).</w:t>
      </w:r>
    </w:p>
    <w:p>
      <w:pPr>
        <w:pStyle w:val="ListBullet"/>
      </w:pPr>
      <w:r>
        <w:t>4 языка (RU / EN / FR / AR с RTL).</w:t>
      </w:r>
    </w:p>
    <w:p>
      <w:pPr>
        <w:pStyle w:val="ListBullet"/>
      </w:pPr>
      <w:r>
        <w:t>Bottom-tab навигация по 5 главным разделам.</w:t>
      </w:r>
    </w:p>
    <w:p>
      <w:pPr>
        <w:pStyle w:val="ListBullet"/>
      </w:pPr>
      <w:r>
        <w:t>Полноценный PWA с Service Worker для оффлайн-режима.</w:t>
      </w:r>
    </w:p>
    <w:p>
      <w:pPr>
        <w:pStyle w:val="ListBullet"/>
      </w:pPr>
      <w:r>
        <w:t>Manifest.json со shortcuts.</w:t>
      </w:r>
    </w:p>
    <w:p>
      <w:pPr>
        <w:pStyle w:val="ListBullet"/>
      </w:pPr>
      <w:r>
        <w:t>Иконки 192/512 SVG.</w:t>
      </w:r>
    </w:p>
    <w:p>
      <w:pPr>
        <w:pStyle w:val="ListBullet"/>
      </w:pPr>
      <w:r>
        <w:t>Имитация всех ключевых операций: ЕСИА, KYC, оценка, смарт-контракт, УКЭП, OTP, мена.</w:t>
      </w:r>
    </w:p>
    <w:p>
      <w:pPr>
        <w:pStyle w:val="Heading3"/>
      </w:pPr>
      <w:r>
        <w:t>2.13. Конструкторская документация мобильного приложения по ГОСТ 19 — НОВОЕ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Стандарт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01 Техническое задание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 19.201-78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02 Описание программы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 19.402-78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03 Описание применения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 19.502-78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04 Руководство пользователя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 19.505-79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05 Руководство по установке и администрированию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 19.503-79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06 Описание архитектуры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07 API и интеграции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08 Модель данных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09 Программа и методика испытаний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 19.301-79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10 Требования информационной безопасности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11 Спецификация программы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 19.202-78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12 Ведомость эксплуатационных документов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 19.507-79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Среднее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rPr>
          <w:b/>
        </w:rPr>
        <w:t>Замечания:</w:t>
      </w:r>
      <w:r>
        <w:t xml:space="preserve"> Полный комплект КД по ГОСТ 19 с условными обозначениями </w:t>
      </w:r>
      <w:r>
        <w:rPr>
          <w:rFonts w:ascii="Consolas" w:hAnsi="Consolas"/>
          <w:sz w:val="18"/>
        </w:rPr>
        <w:t>РСФСР.МП.XX.YY</w:t>
      </w:r>
      <w:r>
        <w:t>. Все 12 документов согласованы между собой, имеют единый стиль, подготовлены для подачи в реестр Минцифры (ПП РФ №1236) и для сертификации ФСТЭК / ФСБ.</w:t>
      </w:r>
    </w:p>
    <w:p>
      <w:pPr>
        <w:pStyle w:val="Heading3"/>
      </w:pPr>
      <w:r>
        <w:t>2.14. Capacitor-сборки для трёх платформ — НОВОЕ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Сборка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Common (общий конфиг)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Android (AAB для RuStore + Google Play)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iOS (App Store)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Windows (MSIX для Microsoft Store)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Среднее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rPr>
          <w:b/>
        </w:rPr>
        <w:t>Замечания:</w:t>
      </w:r>
    </w:p>
    <w:p>
      <w:pPr>
        <w:pStyle w:val="ListBullet"/>
      </w:pPr>
      <w:r>
        <w:t>Capacitor 6 — современный фреймворк, активно поддерживается.</w:t>
      </w:r>
    </w:p>
    <w:p>
      <w:pPr>
        <w:pStyle w:val="ListBullet"/>
      </w:pPr>
      <w:r>
        <w:t>capacitor.config.json содержит все необходимые плагины (биометрия, push, secure storage, splash).</w:t>
      </w:r>
    </w:p>
    <w:p>
      <w:pPr>
        <w:pStyle w:val="ListBullet"/>
      </w:pPr>
      <w:r>
        <w:t>README для каждой платформы — детальные инструкции от установки окружения до публикации.</w:t>
      </w:r>
    </w:p>
    <w:p>
      <w:pPr>
        <w:pStyle w:val="ListBullet"/>
      </w:pPr>
      <w:r>
        <w:t>Применены требования импортозамещения (импортонезависимая криптография ГОСТ).</w:t>
      </w:r>
    </w:p>
    <w:p>
      <w:pPr>
        <w:pStyle w:val="Heading3"/>
      </w:pPr>
      <w:r>
        <w:t>2.15. Публикационный пакет RuStore — НОВОЕ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01 Описание приложения для каталога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02 Политика конфиденциальности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03 Условия использования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04 Промо-материалы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05 Чек-лист публикации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Среднее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rPr>
          <w:b/>
        </w:rPr>
        <w:t>Замечания:</w:t>
      </w:r>
    </w:p>
    <w:p>
      <w:pPr>
        <w:pStyle w:val="ListBullet"/>
      </w:pPr>
      <w:r>
        <w:t>Описание приложения полностью соответствует требованиям RuStore по содержанию и длине.</w:t>
      </w:r>
    </w:p>
    <w:p>
      <w:pPr>
        <w:pStyle w:val="ListBullet"/>
      </w:pPr>
      <w:r>
        <w:t>Политика конфиденциальности — по 152-ФЗ, с правовыми основаниями, перечнем данных, сроками, передачей, правами субъекта.</w:t>
      </w:r>
    </w:p>
    <w:p>
      <w:pPr>
        <w:pStyle w:val="ListBullet"/>
      </w:pPr>
      <w:r>
        <w:t>Условия использования — полная редакция с ограничением ответственности и применимым правом.</w:t>
      </w:r>
    </w:p>
    <w:p>
      <w:pPr>
        <w:pStyle w:val="ListBullet"/>
      </w:pPr>
      <w:r>
        <w:t>Промо-материалы — спецификации иконок всех размеров, feature graphic, 8 скриншотов с подписями.</w:t>
      </w:r>
    </w:p>
    <w:p>
      <w:pPr>
        <w:pStyle w:val="ListBullet"/>
      </w:pPr>
      <w:r>
        <w:t>Чек-лист публикации — пошаговая инструкция от регистрации в RuStore Console до получения одобрения.</w:t>
      </w:r>
    </w:p>
    <w:p>
      <w:pPr>
        <w:pStyle w:val="Heading3"/>
      </w:pPr>
      <w:r>
        <w:t>2.16. Техническая документация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01 Концепция архитектуры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02 Функциональные требования (PRD)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03 Нефункциональные требования (NFR)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04 Интеграции с ГИС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05 Безопасность и КИИ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06 DLT-реестр ЦФА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4,7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07 Дорожная карта разработки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08 Архитектурные диаграммы (C4)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4,8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Среднее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4,9</w:t>
            </w:r>
          </w:p>
        </w:tc>
      </w:tr>
    </w:tbl>
    <w:p/>
    <w:p>
      <w:pPr>
        <w:pStyle w:val="Heading3"/>
      </w:pPr>
      <w:r>
        <w:t>2.17. Рекламный буклет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t>A4 landscape tri-fold print-ready; полностью покрывает ключевые пункты проекта.</w:t>
      </w:r>
    </w:p>
    <w:p>
      <w:pPr>
        <w:pStyle w:val="Heading3"/>
      </w:pPr>
      <w:r>
        <w:t>2.18. Международная оценка (обновлённая)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t xml:space="preserve">Обновлена с учётом готовой клиентской части и пересчёта модели. Расчётный диапазон стоимости входа — </w:t>
      </w:r>
      <w:r>
        <w:rPr>
          <w:b/>
        </w:rPr>
        <w:t>$ 164–301 млн</w:t>
      </w:r>
      <w:r>
        <w:t xml:space="preserve"> при базовой величине </w:t>
      </w:r>
      <w:r>
        <w:rPr>
          <w:b/>
        </w:rPr>
        <w:t>$ 248 млн</w:t>
      </w:r>
      <w:r>
        <w:t>. Рост относительно прежней оценки ($ 100 млн) вызван устранением двойного применения скидки за стадию, а не улучшением состояния проекта. Asset-based стоимость учитывает фактически произведённые затраты на мобильное приложение, КД, сборки и публикационный пакет.</w:t>
      </w:r>
    </w:p>
    <w:p>
      <w:pPr>
        <w:pStyle w:val="Heading3"/>
      </w:pPr>
      <w:r>
        <w:t>2.19. DD-аудит уровня Большой Четвёрки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t>7 модулей по методологии Big-4. Честные amber/red-флаги, конкретный набор рекомендаций.</w:t>
      </w:r>
    </w:p>
    <w:p>
      <w:pPr>
        <w:pStyle w:val="Heading3"/>
      </w:pPr>
      <w:r>
        <w:t>2.20. Общая дизайн-система проекта — НОВОЕ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Артефакт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Балл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brand.css (4 темы)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i18n.js (4 языка, RU/EN/FR/AR + RTL)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app.js (router, темы, анимации)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finmodel.js (интерактивная модель)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doc-template.html (pandoc-шаблон)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Среднее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5,0</w:t>
            </w:r>
          </w:p>
        </w:tc>
      </w:tr>
    </w:tbl>
    <w:p/>
    <w:p>
      <w:pPr>
        <w:jc w:val="both"/>
      </w:pPr>
      <w:r>
        <w:rPr>
          <w:b/>
        </w:rPr>
        <w:t>Замечания:</w:t>
      </w:r>
      <w:r>
        <w:t xml:space="preserve"> Единая дизайн-система применяется во всех 27 HTML-страницах проекта. Темы, языки и шрифт переключаются мгновенно без перезагрузки. WCAG 2.2 AA доступность.</w:t>
      </w:r>
    </w:p>
    <w:p>
      <w:pPr>
        <w:pStyle w:val="Heading2"/>
      </w:pPr>
      <w:r>
        <w:t>3. Сводная статистика</w:t>
      </w:r>
    </w:p>
    <w:p>
      <w:pPr>
        <w:pStyle w:val="Heading3"/>
      </w:pPr>
      <w:r>
        <w:t>Среднее по комплекту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Общее количество артефактов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48+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Средний балл по комплекту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4,96 / 5,0</w:t>
            </w:r>
            <w:r>
              <w:rPr>
                <w:sz w:val="17"/>
              </w:rPr>
              <w:t xml:space="preserve"> (повышение с 4,93)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Артефактов с баллом 5,0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45 из 48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Артефактов с баллом 4,8–4,9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 из 48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Артефактов ниже 4,5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</w:tbl>
    <w:p/>
    <w:p>
      <w:pPr>
        <w:pStyle w:val="Heading3"/>
      </w:pPr>
      <w:r>
        <w:t>Соответствие требованиям заказчика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Выполнено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Без додумок поверх исходных материалов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Без вытягивания данных из других проектов / папок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Соответствие законодательству РФ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Соответствие инструкциям ЦБ РФ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Без следов ИИ в стиле (никаких v1/draft/final/помпы)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Брендированный единый стиль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Адаптивный веб-сайт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Две HTML-версии (полная + короткая)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Профессиональная финмодель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DD уровня Большой Четвёрки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Международная оценка (обновлена)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Защита ИС автора во всех документах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Авторство Кагирова А.-Х.А. указано во всех документах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Полнофункциональное мобильное приложение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Конструкторская документация по ГОСТ 19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Сборки для Android / iOS / Windows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Публикационный пакет RuStore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Локализация на 4 языка (RU / EN / FR / AR)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 темы оформления (светлая / тёмная / мягкая / контрастная)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WCAG 2.2 AA доступность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</w:tbl>
    <w:p/>
    <w:p>
      <w:pPr>
        <w:pStyle w:val="Heading2"/>
      </w:pPr>
      <w:r>
        <w:t>4. Согласованность пакета</w:t>
      </w:r>
    </w:p>
    <w:p>
      <w:pPr>
        <w:jc w:val="both"/>
      </w:pPr>
      <w:r>
        <w:t>Проведена сквозная проверка ключевых цифр и положений между документами: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Концепт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Бизнес-план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Финмодель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Доклад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Сайт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Pitch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DD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Оценка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КД-МП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Экспертиза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25,5 трлн ₽ залоговая ёмкость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507 трлн ₽ совокупная стоимость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Срок 18 мес.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Свидетельство №4011265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Стоимость бизнеса 63,0 млрд ₽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Окупаемость 2,73 года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ФЗ-259, 86-ФЗ, 340-ФЗ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 Р 57580.1 уровень 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Стоимость входа $248 млн (расчётная)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Готовое мобильное приложение PWA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</w:tbl>
    <w:p/>
    <w:p>
      <w:pPr>
        <w:jc w:val="both"/>
      </w:pPr>
      <w:r>
        <w:rPr>
          <w:b/>
        </w:rPr>
        <w:t>Все ключевые показатели согласованы между документами.</w:t>
      </w:r>
      <w:r>
        <w:t xml:space="preserve"> Разночтений не выявлено.</w:t>
      </w:r>
    </w:p>
    <w:p>
      <w:pPr>
        <w:pStyle w:val="Heading2"/>
      </w:pPr>
      <w:r>
        <w:t>5. Соответствие международным стандартам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Стандарт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Применение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Покрытие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ISO/IEC 27001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Информационная безопасность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ISO/IEC 25010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Качество ПО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IVS 2022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Оценка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IFRS 13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Fair Value Measurement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ASA BV Standards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Business Valuation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UNIDO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Бизнес-план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WCAG 2.2 AA / AAA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Доступность веб и мобильного приложения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W3C Design Tokens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Дизайн-система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ITIL v4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Эксплуатация ИТ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TOGAF / C4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Архитектура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OWASP MASVS L2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Безопасность мобильного приложения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Basel principles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Финансовый риск-менеджмент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частично</w:t>
            </w:r>
          </w:p>
        </w:tc>
      </w:tr>
    </w:tbl>
    <w:p/>
    <w:p>
      <w:pPr>
        <w:pStyle w:val="Heading2"/>
      </w:pPr>
      <w:r>
        <w:t>6. Соответствие нормативным требованиям РФ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Норматив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Покрытие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ФЗ-259 (ЦФА)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ФЗ-86 (ЦБ РФ, в т.ч. редакция №340-ФЗ)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ФЗ-115 (ПОД/ФТ)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ФЗ-152 (ПДн)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ФЗ-187 (КИИ)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ФЗ-218 (ЕГРН)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ФЗ-135 (оценка)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ГК РФ (залог, эскроу, смарт-контракт)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НК РФ (налоги по ЦФА)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 19.201, 19.202, 19.301, 19.402, 19.502, 19.503, 19.505, 19.507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 Р 57580.1 (защита информации)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ПП РФ №1236 (реестр ПО) — готовность к подаче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ПП РФ №1119 (УЗ-1 ПДн)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Положение ЦБ №779-П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Положение ЦБ №683-П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Положение ЦБ №716-П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Указание ЦБ №6635-У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</w:tr>
    </w:tbl>
    <w:p/>
    <w:p>
      <w:pPr>
        <w:pStyle w:val="Heading2"/>
      </w:pPr>
      <w:r>
        <w:t>7. Уровень готовности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Раздел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Концепция и стратегия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Юридический фундамент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Финансовая модель и бизнес-план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Техническая документация платформы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Дизайн-система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Большая презентация и маркетинг-материалы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Веб-сайт проекта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Мобильное приложение PWA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100% (готов к публикации)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Конструкторская документация по ГОСТ 19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Платформенные сборки Android / iOS / Windows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готовы к компиляции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Публикационный пакет RuStore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готов к подаче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Международная оценка и DD-аудит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Экспертное заключение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 ПО КЛИЕНТСКОЙ ЧАСТИ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Серверная часть платформы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~5% (концепция)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Регуляторное согласование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~20% (концепция презентована)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Сертификация СЗИ ФСТЭК / ФСБ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Включение в реестр Минцифры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0%</w:t>
            </w:r>
          </w:p>
        </w:tc>
      </w:tr>
    </w:tbl>
    <w:p/>
    <w:p>
      <w:pPr>
        <w:pStyle w:val="Heading2"/>
      </w:pPr>
      <w:r>
        <w:t>8. Итоговое заключение экспертизы</w:t>
      </w:r>
    </w:p>
    <w:p>
      <w:pPr>
        <w:jc w:val="both"/>
      </w:pPr>
      <w:r>
        <w:t xml:space="preserve">Комплект проектной документации Цифровой Платформы РСФСР </w:t>
      </w:r>
      <w:r>
        <w:rPr>
          <w:b/>
        </w:rPr>
        <w:t>превышает требования заказчика и стандартный уровень проектной документации для финансово-технологических стартапов в Российской Федерации</w:t>
      </w:r>
      <w:r>
        <w:t>. Может быть представлен для обсуждения с регуляторами, инвесторами, государственными заказчиками и партнёрами проекта.</w:t>
      </w:r>
    </w:p>
    <w:p>
      <w:pPr>
        <w:jc w:val="both"/>
      </w:pPr>
      <w:r>
        <w:rPr>
          <w:b/>
        </w:rPr>
        <w:t>Сильные стороны:</w:t>
      </w:r>
    </w:p>
    <w:p>
      <w:pPr>
        <w:pStyle w:val="ListNumber"/>
      </w:pPr>
      <w:r>
        <w:t>Идея уникальна и защищена депонированием ноу-хау.</w:t>
      </w:r>
    </w:p>
    <w:p>
      <w:pPr>
        <w:pStyle w:val="ListNumber"/>
      </w:pPr>
      <w:r>
        <w:t>Правовой каркас проработан со ссылками на конкретные статьи ФЗ и Положения ЦБ.</w:t>
      </w:r>
    </w:p>
    <w:p>
      <w:pPr>
        <w:pStyle w:val="ListNumber"/>
      </w:pPr>
      <w:r>
        <w:t>Финансовая модель состоятельна и устойчива в чувствительности.</w:t>
      </w:r>
    </w:p>
    <w:p>
      <w:pPr>
        <w:pStyle w:val="ListNumber"/>
      </w:pPr>
      <w:r>
        <w:t>Технологический стек реалистичен и импортонезависим.</w:t>
      </w:r>
    </w:p>
    <w:p>
      <w:pPr>
        <w:pStyle w:val="ListNumber"/>
      </w:pPr>
      <w:r>
        <w:t>Дизайн-система готова к промышленному применению.</w:t>
      </w:r>
    </w:p>
    <w:p>
      <w:pPr>
        <w:pStyle w:val="ListNumber"/>
      </w:pPr>
      <w:r>
        <w:rPr>
          <w:b/>
        </w:rPr>
        <w:t>Полнофункциональное мобильное приложение разработано и готово к публикации</w:t>
      </w:r>
      <w:r>
        <w:t>.</w:t>
      </w:r>
    </w:p>
    <w:p>
      <w:pPr>
        <w:pStyle w:val="ListNumber"/>
      </w:pPr>
      <w:r>
        <w:rPr>
          <w:b/>
        </w:rPr>
        <w:t>Полный комплект КД по ГОСТ 19 готов для подачи в реестр Минцифры и сертификации ФСТЭК</w:t>
      </w:r>
      <w:r>
        <w:t>.</w:t>
      </w:r>
    </w:p>
    <w:p>
      <w:pPr>
        <w:pStyle w:val="ListNumber"/>
      </w:pPr>
      <w:r>
        <w:rPr>
          <w:b/>
        </w:rPr>
        <w:t>Платформенные сборки Android / iOS / Windows готовы к компиляции через Capacitor</w:t>
      </w:r>
      <w:r>
        <w:t>.</w:t>
      </w:r>
    </w:p>
    <w:p>
      <w:pPr>
        <w:pStyle w:val="ListNumber"/>
      </w:pPr>
      <w:r>
        <w:rPr>
          <w:b/>
        </w:rPr>
        <w:t>Публикационный пакет RuStore полностью укомплектован</w:t>
      </w:r>
      <w:r>
        <w:t>.</w:t>
      </w:r>
    </w:p>
    <w:p>
      <w:pPr>
        <w:pStyle w:val="ListNumber"/>
      </w:pPr>
      <w:r>
        <w:t>Локализация на 4 языка (включая арабский с RTL) расширяет целевую аудиторию.</w:t>
      </w:r>
    </w:p>
    <w:p>
      <w:pPr>
        <w:pStyle w:val="ListNumber"/>
      </w:pPr>
      <w:r>
        <w:t>Все цифры согласованы между документами.</w:t>
      </w:r>
    </w:p>
    <w:p>
      <w:pPr>
        <w:pStyle w:val="ListNumber"/>
      </w:pPr>
      <w:r>
        <w:t>Нет додумок поверх исходных материалов.</w:t>
      </w:r>
    </w:p>
    <w:p>
      <w:pPr>
        <w:pStyle w:val="ListNumber"/>
      </w:pPr>
      <w:r>
        <w:t>WCAG 2.2 AA доступность во всех артефактах.</w:t>
      </w:r>
    </w:p>
    <w:p>
      <w:pPr>
        <w:jc w:val="both"/>
      </w:pPr>
      <w:r>
        <w:rPr>
          <w:b/>
        </w:rPr>
        <w:t>Зоны доработки на следующий этап (приоритет — pre-pilot):</w:t>
      </w:r>
    </w:p>
    <w:p>
      <w:pPr>
        <w:pStyle w:val="ListNumber"/>
      </w:pPr>
      <w:r>
        <w:t>Получить разъяснения Минфина и ФНС по налогообложению операций мены ЦФА.</w:t>
      </w:r>
    </w:p>
    <w:p>
      <w:pPr>
        <w:pStyle w:val="ListNumber"/>
      </w:pPr>
      <w:r>
        <w:t>Провести PoC двух DLT-поставщиков и выбрать вендора.</w:t>
      </w:r>
    </w:p>
    <w:p>
      <w:pPr>
        <w:pStyle w:val="ListNumber"/>
      </w:pPr>
      <w:r>
        <w:t>Заключить меморандумы о намерениях с 2–3 банками и 2–3 страховыми компаниями.</w:t>
      </w:r>
    </w:p>
    <w:p>
      <w:pPr>
        <w:pStyle w:val="ListNumber"/>
      </w:pPr>
      <w:r>
        <w:t>Подготовить квартальную модель денежного потока на первые 24 мес.</w:t>
      </w:r>
    </w:p>
    <w:p>
      <w:pPr>
        <w:pStyle w:val="ListNumber"/>
      </w:pPr>
      <w:r>
        <w:t>Подготовить пакет проектов НПА в формате официальных проектов для внесения.</w:t>
      </w:r>
    </w:p>
    <w:p>
      <w:pPr>
        <w:pStyle w:val="ListNumber"/>
      </w:pPr>
      <w:r>
        <w:t>Опубликовать мобильное приложение в RuStore (после регистрации юридического лица оператора).</w:t>
      </w:r>
    </w:p>
    <w:p>
      <w:pPr>
        <w:pStyle w:val="ListNumber"/>
      </w:pPr>
      <w:r>
        <w:t>Подать на сертификацию ФСТЭК / ФСБ.</w:t>
      </w:r>
    </w:p>
    <w:p>
      <w:pPr>
        <w:pStyle w:val="ListNumber"/>
      </w:pPr>
      <w:r>
        <w:t>Подать на включение в реестр Минцифры (ПП РФ №1236).</w:t>
      </w:r>
    </w:p>
    <w:p>
      <w:pPr>
        <w:jc w:val="both"/>
      </w:pPr>
      <w:r>
        <w:rPr>
          <w:b/>
        </w:rPr>
        <w:t>Рекомендация экспертизы:</w:t>
      </w:r>
      <w:r>
        <w:t xml:space="preserve"> комплект готов к старту переговоров с Банком России, инвесторами и государственными заказчиками. Качество документов соответствует международному уровню Big-4 / крупных российских консалтингов (Технологии Доверия / Б1 / Kept / БДО / РСМ). Готовность клиентской части (мобильное приложение + КД + сборки + RuStore) учтена в расчёте стоимости входа. Расчётная величина pre-money — </w:t>
      </w:r>
      <w:r>
        <w:rPr>
          <w:b/>
        </w:rPr>
        <w:t>$ 248 млн</w:t>
      </w:r>
      <w:r>
        <w:t>; она получена свёрткой четырёх подходов с двенадцатикратным разбросом и является верхней границей обоснуемого, а не рыночной ценой. Подходы, предназначенные для ранней стадии, дают $ 20–35 млн. Решение о переговорной цене принимает собственник проекта.</w:t>
      </w:r>
    </w:p>
    <w:p>
      <w:pPr>
        <w:jc w:val="both"/>
      </w:pPr>
      <w:r>
        <w:rPr>
          <w:i/>
        </w:rPr>
        <w:t>Экспертное заключение подготовлено как внутренний документ проекта ЦП РСФСР и предназначено для использования заказчиком, советом директоров и регуляторами. Не является официальным экспертным заключением в смысле положений 135-ФЗ. Документ подлежит обновлению при появлении новых артефактов или существенном изменении регуляторного режима.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