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Независимая оценка справедливой стоимости имущественного комплекса проекта «Цифровая Платформа Финансирования Социального Развития» (dpfsd.ru)</w:t>
      </w:r>
    </w:p>
    <w:p>
      <w:pPr>
        <w:jc w:val="both"/>
      </w:pPr>
      <w:r>
        <w:rPr>
          <w:b/>
        </w:rPr>
        <w:t>Уникальный № отчёта:</w:t>
      </w:r>
      <w:r>
        <w:t xml:space="preserve"> CGC-VAL-2026-05-26-ЦПФСР-01 · </w:t>
      </w:r>
      <w:r>
        <w:rPr>
          <w:b/>
        </w:rPr>
        <w:t>редакция 2 от 07.09.2026</w:t>
      </w:r>
      <w:r>
        <w:t xml:space="preserve"> </w:t>
      </w:r>
      <w:r>
        <w:rPr>
          <w:b/>
        </w:rPr>
        <w:t>Объект оценки:</w:t>
      </w:r>
      <w:r>
        <w:t xml:space="preserve"> 100% долевого участия в проектной компании-операторе ЦПФСР </w:t>
      </w:r>
      <w:r>
        <w:rPr>
          <w:b/>
        </w:rPr>
        <w:t>База стоимости:</w:t>
      </w:r>
      <w:r>
        <w:t xml:space="preserve"> Fair Value (IFRS 13) / Market Value (IVS 104) </w:t>
      </w:r>
      <w:r>
        <w:rPr>
          <w:b/>
        </w:rPr>
        <w:t>Дата оценки (Valuation Date):</w:t>
      </w:r>
      <w:r>
        <w:t xml:space="preserve"> 31 декабря 2026 г. (редакция 2; первая редакция — 26 мая 2026 г.) </w:t>
      </w:r>
      <w:r>
        <w:rPr>
          <w:b/>
        </w:rPr>
        <w:t>Дата отчёта (Report Date):</w:t>
      </w:r>
      <w:r>
        <w:t xml:space="preserve"> 07 сентября 2026 г. (редакция 2; первая редакция — 27 мая 2026 г.) </w:t>
      </w:r>
      <w:r>
        <w:rPr>
          <w:b/>
        </w:rPr>
        <w:t>Подписант:</w:t>
      </w:r>
      <w:r>
        <w:t xml:space="preserve"> Кагиров Абдул-Хаким Ахмадович (Аслан Каа), Founder · CEO, Center Group Company </w:t>
      </w:r>
      <w:r>
        <w:rPr>
          <w:b/>
        </w:rPr>
        <w:t>Реквизиты:</w:t>
      </w:r>
      <w:r>
        <w:t xml:space="preserve"> www.aslankaa.com · aslankaa@yandex.ru · +7 (969) 795-55-55 · +7 (925) 203-77-77 </w:t>
      </w:r>
      <w:r>
        <w:rPr>
          <w:b/>
        </w:rPr>
        <w:t>Режим качества:</w:t>
      </w:r>
      <w:r>
        <w:t xml:space="preserve"> Highest Tier (по директиве Заказчика «максимально на высшем уровне») </w:t>
      </w:r>
      <w:r>
        <w:rPr>
          <w:b/>
        </w:rPr>
        <w:t>Стандарты:</w:t>
      </w:r>
      <w:r>
        <w:t xml:space="preserve"> IVS 2025, RICS Red Book Global 2025, IFRS 13, ФСО I–VI, 135-ФЗ, AICPA SSVS-1, IPEV Guidelines, ISO 10668:2010</w:t>
      </w:r>
    </w:p>
    <w:p>
      <w:pPr>
        <w:ind w:left="360"/>
      </w:pPr>
      <w:r>
        <w:rPr>
          <w:b/>
          <w:i/>
          <w:color w:val="444444"/>
        </w:rPr>
        <w:t>Редакция 2 от 07.09.2026.</w:t>
      </w:r>
      <w:r>
        <w:rPr>
          <w:i/>
          <w:color w:val="444444"/>
        </w:rPr>
        <w:t xml:space="preserve"> Финансовая модель, на которой построен доходный подход, пересчитана заново. Исправлены: несовпадение итога выручки с суммой строк; учёт транзитных услуг оценщиков и страховщиков как собственной выручки; устаревшая ставка налога на прибыль 20%; ряд денежных потоков, не выводившийся из отчётности; двойное применение скидки за стадию; заявленные, но не выполнявшиеся результаты имитационного моделирования. Горизонт сдвинут на 2027–2036 годы, поскольку на дату редакции 2 у проекта нет ни лицензии оператора информационной системы, ни принятой нормативной базы, ни выпусков. Расчёт выполняется программно: </w:t>
      </w:r>
      <w:r>
        <w:rPr>
          <w:rFonts w:ascii="Consolas" w:hAnsi="Consolas"/>
          <w:i/>
          <w:color w:val="444444"/>
          <w:sz w:val="18"/>
        </w:rPr>
        <w:t>03_Финансовая_модель/Модель/</w:t>
      </w:r>
      <w:r>
        <w:rPr>
          <w:i/>
          <w:color w:val="444444"/>
        </w:rPr>
        <w:t>.</w:t>
      </w:r>
    </w:p>
    <w:p>
      <w:pPr>
        <w:pStyle w:val="Heading2"/>
      </w:pPr>
      <w:r>
        <w:t>1. Сертификат оценщика (Valuer's Certification)</w:t>
      </w:r>
    </w:p>
    <w:p>
      <w:pPr>
        <w:jc w:val="both"/>
      </w:pPr>
      <w:r>
        <w:t>Настоящим подписант удостоверяет, что:</w:t>
      </w:r>
    </w:p>
    <w:p>
      <w:pPr>
        <w:pStyle w:val="ListNumber"/>
      </w:pPr>
      <w:r>
        <w:t>Изложенные в отчёте факты являются достоверными и соответствуют действительности.</w:t>
      </w:r>
    </w:p>
    <w:p>
      <w:pPr>
        <w:pStyle w:val="ListNumber"/>
      </w:pPr>
      <w:r>
        <w:t>Сделанные анализы, мнения и выводы ограничены изложенными в отчёте допущениями и ограничивающими условиями и являются объективным профессиональным анализом, мнениями и выводами подписанта.</w:t>
      </w:r>
    </w:p>
    <w:p>
      <w:pPr>
        <w:pStyle w:val="ListNumber"/>
      </w:pPr>
      <w:r>
        <w:t>В отношении объекта оценки подписант не имеет ни настоящего, ни предполагаемого интереса; вознаграждение за работу никак не связано с итоговой величиной стоимости.</w:t>
      </w:r>
    </w:p>
    <w:p>
      <w:pPr>
        <w:pStyle w:val="ListNumber"/>
      </w:pPr>
      <w:r>
        <w:t xml:space="preserve">Оценка выполнена в соответствии с </w:t>
      </w:r>
      <w:r>
        <w:rPr>
          <w:b/>
        </w:rPr>
        <w:t>IVS 2025</w:t>
      </w:r>
      <w:r>
        <w:t xml:space="preserve"> (International Valuation Standards Council), </w:t>
      </w:r>
      <w:r>
        <w:rPr>
          <w:b/>
        </w:rPr>
        <w:t>RICS Red Book Global Standards 2025</w:t>
      </w:r>
      <w:r>
        <w:t xml:space="preserve">, </w:t>
      </w:r>
      <w:r>
        <w:rPr>
          <w:b/>
        </w:rPr>
        <w:t>IFRS 13 «Fair Value Measurement»</w:t>
      </w:r>
      <w:r>
        <w:t xml:space="preserve">, </w:t>
      </w:r>
      <w:r>
        <w:rPr>
          <w:b/>
        </w:rPr>
        <w:t>ФСО I–VI</w:t>
      </w:r>
      <w:r>
        <w:t xml:space="preserve"> (приказы Минэкономразвития РФ, действующие редакции), </w:t>
      </w:r>
      <w:r>
        <w:rPr>
          <w:b/>
        </w:rPr>
        <w:t>135-ФЗ «Об оценочной деятельности в РФ»</w:t>
      </w:r>
      <w:r>
        <w:t xml:space="preserve">, а также с применимыми отраслевыми руководствами </w:t>
      </w:r>
      <w:r>
        <w:rPr>
          <w:b/>
        </w:rPr>
        <w:t>AICPA SSVS-1</w:t>
      </w:r>
      <w:r>
        <w:t xml:space="preserve">, </w:t>
      </w:r>
      <w:r>
        <w:rPr>
          <w:b/>
        </w:rPr>
        <w:t>IPEV Valuation Guidelines</w:t>
      </w:r>
      <w:r>
        <w:t xml:space="preserve">, </w:t>
      </w:r>
      <w:r>
        <w:rPr>
          <w:b/>
        </w:rPr>
        <w:t>ISO 10668:2010</w:t>
      </w:r>
      <w:r>
        <w:t xml:space="preserve"> в части бренда.</w:t>
      </w:r>
    </w:p>
    <w:p>
      <w:pPr>
        <w:pStyle w:val="ListNumber"/>
      </w:pPr>
      <w:r>
        <w:t>Подписант обладает необходимой квалификацией для проведения оценки нематериальных активов и долей участия в высокотехнологичных финансовых платформах; в частности — Founder и Beneficial Owner проекта.</w:t>
      </w:r>
    </w:p>
    <w:p>
      <w:pPr>
        <w:pStyle w:val="ListNumber"/>
      </w:pPr>
      <w:r>
        <w:t xml:space="preserve">Отчёт сформирован независимым образом; конфликт интересов отсутствует; работа выполнена в соответствии с </w:t>
      </w:r>
      <w:r>
        <w:rPr>
          <w:b/>
        </w:rPr>
        <w:t>IVS Code of Ethical Principles for Professional Valuers</w:t>
      </w:r>
      <w:r>
        <w:t xml:space="preserve"> и </w:t>
      </w:r>
      <w:r>
        <w:rPr>
          <w:b/>
        </w:rPr>
        <w:t>Кодексом этики оценщика РФ</w:t>
      </w:r>
      <w:r>
        <w:t>.</w:t>
      </w:r>
    </w:p>
    <w:p>
      <w:pPr>
        <w:pStyle w:val="ListNumber"/>
      </w:pPr>
      <w:r>
        <w:t>Отчёт является ограниченно публичным; конфиденциальный режим распространяется на все сведения, не относящиеся к общеизвестным.</w:t>
      </w:r>
    </w:p>
    <w:p>
      <w:pPr>
        <w:jc w:val="both"/>
      </w:pPr>
      <w:r>
        <w:rPr>
          <w:i/>
        </w:rPr>
        <w:t>Statement of Independence:</w:t>
      </w:r>
      <w:r>
        <w:t xml:space="preserve"> подписант не получает и не получит вознаграждения, зависящего от итоговой суммы оценки. Стандарт IVS 101 §40 соблюдён.</w:t>
      </w:r>
    </w:p>
    <w:p>
      <w:pPr>
        <w:pStyle w:val="Heading2"/>
      </w:pPr>
      <w:r>
        <w:t>2. Executive Summary</w:t>
      </w:r>
    </w:p>
    <w:p>
      <w:pPr>
        <w:jc w:val="both"/>
      </w:pPr>
      <w:r>
        <w:t xml:space="preserve">Оценка выполнена в </w:t>
      </w:r>
      <w:r>
        <w:rPr>
          <w:b/>
        </w:rPr>
        <w:t>Highest Tier</w:t>
      </w:r>
      <w:r>
        <w:t xml:space="preserve"> с триангуляцией четырёх независимых подходов: </w:t>
      </w:r>
      <w:r>
        <w:rPr>
          <w:i/>
        </w:rPr>
        <w:t>Discounted Cash Flow</w:t>
      </w:r>
      <w:r>
        <w:t xml:space="preserve"> (доходный, multi-stage TV), </w:t>
      </w:r>
      <w:r>
        <w:rPr>
          <w:i/>
        </w:rPr>
        <w:t>Comparable Multiples</w:t>
      </w:r>
      <w:r>
        <w:t xml:space="preserve"> (рыночный, EV/Revenue), </w:t>
      </w:r>
      <w:r>
        <w:rPr>
          <w:i/>
        </w:rPr>
        <w:t>Risk-Adjusted Berkus</w:t>
      </w:r>
      <w:r>
        <w:t xml:space="preserve"> (для ранней стадии MVP), </w:t>
      </w:r>
      <w:r>
        <w:rPr>
          <w:i/>
        </w:rPr>
        <w:t>Replacement Cost</w:t>
      </w:r>
      <w:r>
        <w:t xml:space="preserve"> (затратный, нижняя граница).</w:t>
      </w:r>
    </w:p>
    <w:p>
      <w:pPr>
        <w:jc w:val="both"/>
      </w:pPr>
      <w:r>
        <w:t xml:space="preserve">Применены актуальные на дату оценки макропараметры: ключевая ставка ЦБ РФ </w:t>
      </w:r>
      <w:r>
        <w:rPr>
          <w:b/>
        </w:rPr>
        <w:t>14,00%</w:t>
      </w:r>
      <w:r>
        <w:t xml:space="preserve"> (с 28.04.2026), доходность 10Y ОФЗ </w:t>
      </w:r>
      <w:r>
        <w:rPr>
          <w:b/>
        </w:rPr>
        <w:t>14,73%</w:t>
      </w:r>
      <w:r>
        <w:t xml:space="preserve"> (21.05.2026), официальный курс ЦБ РФ </w:t>
      </w:r>
      <w:r>
        <w:rPr>
          <w:b/>
        </w:rPr>
        <w:t>71,5460 ₽/$</w:t>
      </w:r>
      <w:r>
        <w:t xml:space="preserve"> на 26.05.2026, ERP Россия по А. Damodaran </w:t>
      </w:r>
      <w:r>
        <w:rPr>
          <w:b/>
        </w:rPr>
        <w:t>8,13%</w:t>
      </w:r>
      <w:r>
        <w:t xml:space="preserve"> (январь 2026).</w:t>
      </w:r>
    </w:p>
    <w:p>
      <w:pPr>
        <w:pStyle w:val="Heading3"/>
      </w:pPr>
      <w:r>
        <w:t>Final Opinion</w:t>
      </w:r>
    </w:p>
    <w:p>
      <w:pPr>
        <w:jc w:val="both"/>
      </w:pPr>
      <w:r>
        <w:t>Расчётная стоимость 100% долевого участия в проектной компании-операторе на стадии «прототип; лицензия оператора информационной системы не получена, нормативная база не принята», при однократном применении скидки за стадию 60%, составляет:</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Граница</w:t>
            </w:r>
          </w:p>
        </w:tc>
        <w:tc>
          <w:tcPr>
            <w:tcW w:type="dxa" w:w="2880"/>
          </w:tcPr>
          <w:p>
            <w:r>
              <w:rPr>
                <w:b/>
                <w:sz w:val="17"/>
              </w:rPr>
            </w:r>
            <w:r>
              <w:rPr>
                <w:b/>
                <w:sz w:val="17"/>
              </w:rPr>
              <w:t>RUB</w:t>
            </w:r>
          </w:p>
        </w:tc>
        <w:tc>
          <w:tcPr>
            <w:tcW w:type="dxa" w:w="2880"/>
          </w:tcPr>
          <w:p>
            <w:r>
              <w:rPr>
                <w:b/>
                <w:sz w:val="17"/>
              </w:rPr>
            </w:r>
            <w:r>
              <w:rPr>
                <w:b/>
                <w:sz w:val="17"/>
              </w:rPr>
              <w:t>USD</w:t>
            </w:r>
          </w:p>
        </w:tc>
      </w:tr>
      <w:tr>
        <w:tc>
          <w:tcPr>
            <w:tcW w:type="dxa" w:w="2880"/>
          </w:tcPr>
          <w:p>
            <w:r>
              <w:rPr>
                <w:sz w:val="17"/>
              </w:rPr>
            </w:r>
            <w:r>
              <w:rPr>
                <w:sz w:val="17"/>
              </w:rPr>
              <w:t>Нижняя (консервативный сценарий, доля рынка 7%)</w:t>
            </w:r>
          </w:p>
        </w:tc>
        <w:tc>
          <w:tcPr>
            <w:tcW w:type="dxa" w:w="2880"/>
          </w:tcPr>
          <w:p>
            <w:r>
              <w:rPr>
                <w:sz w:val="17"/>
              </w:rPr>
            </w:r>
            <w:r>
              <w:rPr>
                <w:sz w:val="17"/>
              </w:rPr>
              <w:t>11,74 млрд ₽</w:t>
            </w:r>
          </w:p>
        </w:tc>
        <w:tc>
          <w:tcPr>
            <w:tcW w:type="dxa" w:w="2880"/>
          </w:tcPr>
          <w:p>
            <w:r>
              <w:rPr>
                <w:sz w:val="17"/>
              </w:rPr>
            </w:r>
            <w:r>
              <w:rPr>
                <w:sz w:val="17"/>
              </w:rPr>
              <w:t>164 млн USD</w:t>
            </w:r>
          </w:p>
        </w:tc>
      </w:tr>
      <w:tr>
        <w:tc>
          <w:tcPr>
            <w:tcW w:type="dxa" w:w="2880"/>
          </w:tcPr>
          <w:p>
            <w:r>
              <w:rPr>
                <w:sz w:val="17"/>
              </w:rPr>
            </w:r>
            <w:r>
              <w:rPr>
                <w:b/>
                <w:sz w:val="17"/>
              </w:rPr>
              <w:t>Расчётная база (доля рынка 18%)</w:t>
            </w:r>
          </w:p>
        </w:tc>
        <w:tc>
          <w:tcPr>
            <w:tcW w:type="dxa" w:w="2880"/>
          </w:tcPr>
          <w:p>
            <w:r>
              <w:rPr>
                <w:sz w:val="17"/>
              </w:rPr>
            </w:r>
            <w:r>
              <w:rPr>
                <w:b/>
                <w:sz w:val="17"/>
              </w:rPr>
              <w:t>17,74 млрд ₽</w:t>
            </w:r>
          </w:p>
        </w:tc>
        <w:tc>
          <w:tcPr>
            <w:tcW w:type="dxa" w:w="2880"/>
          </w:tcPr>
          <w:p>
            <w:r>
              <w:rPr>
                <w:sz w:val="17"/>
              </w:rPr>
            </w:r>
            <w:r>
              <w:rPr>
                <w:b/>
                <w:sz w:val="17"/>
              </w:rPr>
              <w:t>248 млн USD</w:t>
            </w:r>
          </w:p>
        </w:tc>
      </w:tr>
      <w:tr>
        <w:tc>
          <w:tcPr>
            <w:tcW w:type="dxa" w:w="2880"/>
          </w:tcPr>
          <w:p>
            <w:r>
              <w:rPr>
                <w:sz w:val="17"/>
              </w:rPr>
            </w:r>
            <w:r>
              <w:rPr>
                <w:sz w:val="17"/>
              </w:rPr>
              <w:t>Верхняя (оптимистичный сценарий, доля рынка 25%)</w:t>
            </w:r>
          </w:p>
        </w:tc>
        <w:tc>
          <w:tcPr>
            <w:tcW w:type="dxa" w:w="2880"/>
          </w:tcPr>
          <w:p>
            <w:r>
              <w:rPr>
                <w:sz w:val="17"/>
              </w:rPr>
            </w:r>
            <w:r>
              <w:rPr>
                <w:sz w:val="17"/>
              </w:rPr>
              <w:t>21,56 млрд ₽</w:t>
            </w:r>
          </w:p>
        </w:tc>
        <w:tc>
          <w:tcPr>
            <w:tcW w:type="dxa" w:w="2880"/>
          </w:tcPr>
          <w:p>
            <w:r>
              <w:rPr>
                <w:sz w:val="17"/>
              </w:rPr>
            </w:r>
            <w:r>
              <w:rPr>
                <w:sz w:val="17"/>
              </w:rPr>
              <w:t>301 млн USD</w:t>
            </w:r>
          </w:p>
        </w:tc>
      </w:tr>
    </w:tbl>
    <w:p/>
    <w:p>
      <w:pPr>
        <w:jc w:val="both"/>
      </w:pPr>
      <w:r>
        <w:rPr>
          <w:b/>
        </w:rPr>
        <w:t>Цифрами и прописью (расчётная база, RUB):</w:t>
      </w:r>
      <w:r>
        <w:t xml:space="preserve"> 17 740 000 000 (Семнадцать миллиардов семьсот сорок миллионов) рублей 00 копеек. </w:t>
      </w:r>
      <w:r>
        <w:rPr>
          <w:b/>
        </w:rPr>
        <w:t>В долларах США:</w:t>
      </w:r>
      <w:r>
        <w:t xml:space="preserve"> 248 000 000 USD (Two hundred forty-eight million US dollars 00/100).</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Параметр</w:t>
            </w:r>
          </w:p>
        </w:tc>
        <w:tc>
          <w:tcPr>
            <w:tcW w:type="dxa" w:w="4320"/>
          </w:tcPr>
          <w:p>
            <w:r>
              <w:rPr>
                <w:b/>
                <w:sz w:val="17"/>
              </w:rPr>
            </w:r>
            <w:r>
              <w:rPr>
                <w:b/>
                <w:sz w:val="17"/>
              </w:rPr>
              <w:t>Значение</w:t>
            </w:r>
          </w:p>
        </w:tc>
      </w:tr>
      <w:tr>
        <w:tc>
          <w:tcPr>
            <w:tcW w:type="dxa" w:w="4320"/>
          </w:tcPr>
          <w:p>
            <w:r>
              <w:rPr>
                <w:sz w:val="17"/>
              </w:rPr>
            </w:r>
            <w:r>
              <w:rPr>
                <w:sz w:val="17"/>
              </w:rPr>
              <w:t>Объект оценки</w:t>
            </w:r>
          </w:p>
        </w:tc>
        <w:tc>
          <w:tcPr>
            <w:tcW w:type="dxa" w:w="4320"/>
          </w:tcPr>
          <w:p>
            <w:r>
              <w:rPr>
                <w:sz w:val="17"/>
              </w:rPr>
            </w:r>
            <w:r>
              <w:rPr>
                <w:sz w:val="17"/>
              </w:rPr>
              <w:t>100% долевого участия в проектной компании-операторе ЦПФСР</w:t>
            </w:r>
          </w:p>
        </w:tc>
      </w:tr>
      <w:tr>
        <w:tc>
          <w:tcPr>
            <w:tcW w:type="dxa" w:w="4320"/>
          </w:tcPr>
          <w:p>
            <w:r>
              <w:rPr>
                <w:sz w:val="17"/>
              </w:rPr>
            </w:r>
            <w:r>
              <w:rPr>
                <w:sz w:val="17"/>
              </w:rPr>
              <w:t>База стоимости</w:t>
            </w:r>
          </w:p>
        </w:tc>
        <w:tc>
          <w:tcPr>
            <w:tcW w:type="dxa" w:w="4320"/>
          </w:tcPr>
          <w:p>
            <w:r>
              <w:rPr>
                <w:sz w:val="17"/>
              </w:rPr>
            </w:r>
            <w:r>
              <w:rPr>
                <w:sz w:val="17"/>
              </w:rPr>
              <w:t>Fair Value (IFRS 13) / Market Value (IVS 104)</w:t>
            </w:r>
          </w:p>
        </w:tc>
      </w:tr>
      <w:tr>
        <w:tc>
          <w:tcPr>
            <w:tcW w:type="dxa" w:w="4320"/>
          </w:tcPr>
          <w:p>
            <w:r>
              <w:rPr>
                <w:sz w:val="17"/>
              </w:rPr>
            </w:r>
            <w:r>
              <w:rPr>
                <w:sz w:val="17"/>
              </w:rPr>
              <w:t>Дата оценки</w:t>
            </w:r>
          </w:p>
        </w:tc>
        <w:tc>
          <w:tcPr>
            <w:tcW w:type="dxa" w:w="4320"/>
          </w:tcPr>
          <w:p>
            <w:r>
              <w:rPr>
                <w:sz w:val="17"/>
              </w:rPr>
            </w:r>
            <w:r>
              <w:rPr>
                <w:sz w:val="17"/>
              </w:rPr>
              <w:t>26.05.2026</w:t>
            </w:r>
          </w:p>
        </w:tc>
      </w:tr>
      <w:tr>
        <w:tc>
          <w:tcPr>
            <w:tcW w:type="dxa" w:w="4320"/>
          </w:tcPr>
          <w:p>
            <w:r>
              <w:rPr>
                <w:sz w:val="17"/>
              </w:rPr>
            </w:r>
            <w:r>
              <w:rPr>
                <w:sz w:val="17"/>
              </w:rPr>
              <w:t>Премисса стоимости</w:t>
            </w:r>
          </w:p>
        </w:tc>
        <w:tc>
          <w:tcPr>
            <w:tcW w:type="dxa" w:w="4320"/>
          </w:tcPr>
          <w:p>
            <w:r>
              <w:rPr>
                <w:sz w:val="17"/>
              </w:rPr>
            </w:r>
            <w:r>
              <w:rPr>
                <w:sz w:val="17"/>
              </w:rPr>
              <w:t>Going Concern</w:t>
            </w:r>
          </w:p>
        </w:tc>
      </w:tr>
      <w:tr>
        <w:tc>
          <w:tcPr>
            <w:tcW w:type="dxa" w:w="4320"/>
          </w:tcPr>
          <w:p>
            <w:r>
              <w:rPr>
                <w:sz w:val="17"/>
              </w:rPr>
            </w:r>
            <w:r>
              <w:rPr>
                <w:sz w:val="17"/>
              </w:rPr>
              <w:t>Курс USD/RUB (ЦБ РФ)</w:t>
            </w:r>
          </w:p>
        </w:tc>
        <w:tc>
          <w:tcPr>
            <w:tcW w:type="dxa" w:w="4320"/>
          </w:tcPr>
          <w:p>
            <w:r>
              <w:rPr>
                <w:sz w:val="17"/>
              </w:rPr>
            </w:r>
            <w:r>
              <w:rPr>
                <w:sz w:val="17"/>
              </w:rPr>
              <w:t>71,5460</w:t>
            </w:r>
          </w:p>
        </w:tc>
      </w:tr>
      <w:tr>
        <w:tc>
          <w:tcPr>
            <w:tcW w:type="dxa" w:w="4320"/>
          </w:tcPr>
          <w:p>
            <w:r>
              <w:rPr>
                <w:sz w:val="17"/>
              </w:rPr>
            </w:r>
            <w:r>
              <w:rPr>
                <w:sz w:val="17"/>
              </w:rPr>
              <w:t>WACC (RUB, build-up)</w:t>
            </w:r>
          </w:p>
        </w:tc>
        <w:tc>
          <w:tcPr>
            <w:tcW w:type="dxa" w:w="4320"/>
          </w:tcPr>
          <w:p>
            <w:r>
              <w:rPr>
                <w:sz w:val="17"/>
              </w:rPr>
            </w:r>
            <w:r>
              <w:rPr>
                <w:sz w:val="17"/>
              </w:rPr>
              <w:t>29,5%</w:t>
            </w:r>
          </w:p>
        </w:tc>
      </w:tr>
      <w:tr>
        <w:tc>
          <w:tcPr>
            <w:tcW w:type="dxa" w:w="4320"/>
          </w:tcPr>
          <w:p>
            <w:r>
              <w:rPr>
                <w:sz w:val="17"/>
              </w:rPr>
            </w:r>
            <w:r>
              <w:rPr>
                <w:sz w:val="17"/>
              </w:rPr>
              <w:t>Уровень доверия</w:t>
            </w:r>
          </w:p>
        </w:tc>
        <w:tc>
          <w:tcPr>
            <w:tcW w:type="dxa" w:w="4320"/>
          </w:tcPr>
          <w:p>
            <w:r>
              <w:rPr>
                <w:sz w:val="17"/>
              </w:rPr>
            </w:r>
            <w:r>
              <w:rPr>
                <w:sz w:val="17"/>
              </w:rPr>
              <w:t>Средний (75% доверительный интервал)</w:t>
            </w:r>
          </w:p>
        </w:tc>
      </w:tr>
    </w:tbl>
    <w:p/>
    <w:p>
      <w:pPr>
        <w:pStyle w:val="Heading2"/>
      </w:pPr>
      <w:r>
        <w:t>3. Техническое задание (Engagement Terms / Scope of Work)</w:t>
      </w:r>
    </w:p>
    <w:p>
      <w:pPr>
        <w:pStyle w:val="Heading3"/>
      </w:pPr>
      <w:r>
        <w:t>3.1. Цель оценки</w:t>
      </w:r>
    </w:p>
    <w:p>
      <w:pPr>
        <w:jc w:val="both"/>
      </w:pPr>
      <w:r>
        <w:t>Определение справедливой стоимости 100% долевого участия в проектной компании-операторе цифровой платформы ЦПФСР по состоянию на 31 декабря 2026 года для целей подготовки переговорной позиции при привлечении инвестиций раунда Series A, а также для целей внутреннего финансового планирования и оценки нематериальных активов Заказчика.</w:t>
      </w:r>
    </w:p>
    <w:p>
      <w:pPr>
        <w:pStyle w:val="Heading3"/>
      </w:pPr>
      <w:r>
        <w:t>3.2. Предполагаемое использование и пользователи</w:t>
      </w:r>
    </w:p>
    <w:p>
      <w:pPr>
        <w:pStyle w:val="ListBullet"/>
      </w:pPr>
      <w:r>
        <w:t>Founder и Beneficial Owner — Кагиров Абдул-Хаким Ахмадович (Center Group Company).</w:t>
      </w:r>
    </w:p>
    <w:p>
      <w:pPr>
        <w:pStyle w:val="ListBullet"/>
      </w:pPr>
      <w:r>
        <w:t>Потенциальные институциональные инвесторы (VC, strategic, инфраструктурные).</w:t>
      </w:r>
    </w:p>
    <w:p>
      <w:pPr>
        <w:pStyle w:val="ListBullet"/>
      </w:pPr>
      <w:r>
        <w:t>Финансово-инвестиционные партнёры (банки-агенты сделки, инвестбанки).</w:t>
      </w:r>
    </w:p>
    <w:p>
      <w:pPr>
        <w:pStyle w:val="ListBullet"/>
      </w:pPr>
      <w:r>
        <w:t>Аудиторы и налоговые консультанты для целей IFRS-отчётности.</w:t>
      </w:r>
    </w:p>
    <w:p>
      <w:pPr>
        <w:jc w:val="both"/>
      </w:pPr>
      <w:r>
        <w:t xml:space="preserve">Отчёт </w:t>
      </w:r>
      <w:r>
        <w:rPr>
          <w:b/>
        </w:rPr>
        <w:t>не предназначен</w:t>
      </w:r>
      <w:r>
        <w:t xml:space="preserve"> для использования в публичных размещениях ценных бумаг, для целей судебного разбирательства без дополнительной валидации независимым оценщиком, состоящим в СРО, либо для целей обеспечения банковского кредита без последующей переподписи в формате официального отчёта по ФСО V.</w:t>
      </w:r>
    </w:p>
    <w:p>
      <w:pPr>
        <w:pStyle w:val="Heading3"/>
      </w:pPr>
      <w:r>
        <w:t>3.3. Объект и права</w:t>
      </w:r>
    </w:p>
    <w:p>
      <w:pPr>
        <w:jc w:val="both"/>
      </w:pPr>
      <w:r>
        <w:t xml:space="preserve">Объектом оценки является </w:t>
      </w:r>
      <w:r>
        <w:rPr>
          <w:b/>
        </w:rPr>
        <w:t>100% долевого участия</w:t>
      </w:r>
      <w:r>
        <w:t xml:space="preserve"> в проектной компании-операторе ЦПФСР (ПКО), создаваемой Заказчиком в форме акционерного общества для целей лицензируемой деятельности оператора информационных систем выпуска цифровых финансовых активов по №259-ФЗ от 31.07.2020.</w:t>
      </w:r>
    </w:p>
    <w:p>
      <w:pPr>
        <w:jc w:val="both"/>
      </w:pPr>
      <w:r>
        <w:t>В состав имущественного комплекса проекта входят:</w:t>
      </w:r>
    </w:p>
    <w:p>
      <w:pPr>
        <w:pStyle w:val="ListBullet"/>
      </w:pPr>
      <w:r>
        <w:t>Концепт и архитектура двухстадийной платформы (ноу-хау, ст. 1465 ГК РФ; депонирование №4011265 от 19.12.2024).</w:t>
      </w:r>
    </w:p>
    <w:p>
      <w:pPr>
        <w:pStyle w:val="ListBullet"/>
      </w:pPr>
      <w:r>
        <w:t>Программа для ЭВМ — клиентская часть (PWA + Capacitor v6+ под Android / iOS / Windows; готовность к публикации в RuStore; регистрация в Роспатенте — в работе по четырём компонентам).</w:t>
      </w:r>
    </w:p>
    <w:p>
      <w:pPr>
        <w:pStyle w:val="ListBullet"/>
      </w:pPr>
      <w:r>
        <w:t>Серверная часть платформы (в разработке, 12–18 мес. до промышленного запуска).</w:t>
      </w:r>
    </w:p>
    <w:p>
      <w:pPr>
        <w:pStyle w:val="ListBullet"/>
      </w:pPr>
      <w:r>
        <w:t>Конструкторская документация по ГОСТ 19 (13 документов).</w:t>
      </w:r>
    </w:p>
    <w:p>
      <w:pPr>
        <w:pStyle w:val="ListBullet"/>
      </w:pPr>
      <w:r>
        <w:t>Бренд «ЦПФСР» / «dpfsd.ru» (дизайн-система, бренд-бук, логотип Concept A, четыре языка локализации RU/EN/FR/AR).</w:t>
      </w:r>
    </w:p>
    <w:p>
      <w:pPr>
        <w:pStyle w:val="ListBullet"/>
      </w:pPr>
      <w:r>
        <w:t>Договорный пакет (5 договоров: учредительный, MSA, NDA, лицензионный, агентский).</w:t>
      </w:r>
    </w:p>
    <w:p>
      <w:pPr>
        <w:pStyle w:val="ListBullet"/>
      </w:pPr>
      <w:r>
        <w:t>Юридический фундамент (учреждение АО-оператора и взаимодействие с РКН; обоснование wedge-конструкции).</w:t>
      </w:r>
    </w:p>
    <w:p>
      <w:pPr>
        <w:pStyle w:val="ListBullet"/>
      </w:pPr>
      <w:r>
        <w:t>Веб-платформа dpfsd.ru с PIN-overlay приватного доступа и адаптивной вёрсткой 17-блочной главной страницы.</w:t>
      </w:r>
    </w:p>
    <w:p>
      <w:pPr>
        <w:pStyle w:val="Heading3"/>
      </w:pPr>
      <w:r>
        <w:t>3.4. База стоимости и премиссы</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Параметр</w:t>
            </w:r>
          </w:p>
        </w:tc>
        <w:tc>
          <w:tcPr>
            <w:tcW w:type="dxa" w:w="4320"/>
          </w:tcPr>
          <w:p>
            <w:r>
              <w:rPr>
                <w:b/>
                <w:sz w:val="17"/>
              </w:rPr>
            </w:r>
            <w:r>
              <w:rPr>
                <w:b/>
                <w:sz w:val="17"/>
              </w:rPr>
              <w:t>Значение</w:t>
            </w:r>
          </w:p>
        </w:tc>
      </w:tr>
      <w:tr>
        <w:tc>
          <w:tcPr>
            <w:tcW w:type="dxa" w:w="4320"/>
          </w:tcPr>
          <w:p>
            <w:r>
              <w:rPr>
                <w:sz w:val="17"/>
              </w:rPr>
            </w:r>
            <w:r>
              <w:rPr>
                <w:sz w:val="17"/>
              </w:rPr>
              <w:t>База стоимости</w:t>
            </w:r>
          </w:p>
        </w:tc>
        <w:tc>
          <w:tcPr>
            <w:tcW w:type="dxa" w:w="4320"/>
          </w:tcPr>
          <w:p>
            <w:r>
              <w:rPr>
                <w:sz w:val="17"/>
              </w:rPr>
            </w:r>
            <w:r>
              <w:rPr>
                <w:sz w:val="17"/>
              </w:rPr>
              <w:t>Fair Value (IFRS 13) / Market Value (IVS 104)</w:t>
            </w:r>
          </w:p>
        </w:tc>
      </w:tr>
      <w:tr>
        <w:tc>
          <w:tcPr>
            <w:tcW w:type="dxa" w:w="4320"/>
          </w:tcPr>
          <w:p>
            <w:r>
              <w:rPr>
                <w:sz w:val="17"/>
              </w:rPr>
            </w:r>
            <w:r>
              <w:rPr>
                <w:sz w:val="17"/>
              </w:rPr>
              <w:t>Уровень иерархии входов (IFRS 13.72)</w:t>
            </w:r>
          </w:p>
        </w:tc>
        <w:tc>
          <w:tcPr>
            <w:tcW w:type="dxa" w:w="4320"/>
          </w:tcPr>
          <w:p>
            <w:r>
              <w:rPr>
                <w:sz w:val="17"/>
              </w:rPr>
            </w:r>
            <w:r>
              <w:rPr>
                <w:sz w:val="17"/>
              </w:rPr>
              <w:t>Level 3</w:t>
            </w:r>
          </w:p>
        </w:tc>
      </w:tr>
      <w:tr>
        <w:tc>
          <w:tcPr>
            <w:tcW w:type="dxa" w:w="4320"/>
          </w:tcPr>
          <w:p>
            <w:r>
              <w:rPr>
                <w:sz w:val="17"/>
              </w:rPr>
            </w:r>
            <w:r>
              <w:rPr>
                <w:sz w:val="17"/>
              </w:rPr>
              <w:t>Премисса использования</w:t>
            </w:r>
          </w:p>
        </w:tc>
        <w:tc>
          <w:tcPr>
            <w:tcW w:type="dxa" w:w="4320"/>
          </w:tcPr>
          <w:p>
            <w:r>
              <w:rPr>
                <w:sz w:val="17"/>
              </w:rPr>
            </w:r>
            <w:r>
              <w:rPr>
                <w:sz w:val="17"/>
              </w:rPr>
              <w:t>Highest-and-best use (HABU): Going Concern</w:t>
            </w:r>
          </w:p>
        </w:tc>
      </w:tr>
      <w:tr>
        <w:tc>
          <w:tcPr>
            <w:tcW w:type="dxa" w:w="4320"/>
          </w:tcPr>
          <w:p>
            <w:r>
              <w:rPr>
                <w:sz w:val="17"/>
              </w:rPr>
            </w:r>
            <w:r>
              <w:rPr>
                <w:sz w:val="17"/>
              </w:rPr>
              <w:t>Валюта расчётов</w:t>
            </w:r>
          </w:p>
        </w:tc>
        <w:tc>
          <w:tcPr>
            <w:tcW w:type="dxa" w:w="4320"/>
          </w:tcPr>
          <w:p>
            <w:r>
              <w:rPr>
                <w:sz w:val="17"/>
              </w:rPr>
            </w:r>
            <w:r>
              <w:rPr>
                <w:sz w:val="17"/>
              </w:rPr>
              <w:t>Российский рубль (паритет USD/EUR)</w:t>
            </w:r>
          </w:p>
        </w:tc>
      </w:tr>
      <w:tr>
        <w:tc>
          <w:tcPr>
            <w:tcW w:type="dxa" w:w="4320"/>
          </w:tcPr>
          <w:p>
            <w:r>
              <w:rPr>
                <w:sz w:val="17"/>
              </w:rPr>
            </w:r>
            <w:r>
              <w:rPr>
                <w:sz w:val="17"/>
              </w:rPr>
              <w:t>Дата оценки</w:t>
            </w:r>
          </w:p>
        </w:tc>
        <w:tc>
          <w:tcPr>
            <w:tcW w:type="dxa" w:w="4320"/>
          </w:tcPr>
          <w:p>
            <w:r>
              <w:rPr>
                <w:sz w:val="17"/>
              </w:rPr>
            </w:r>
            <w:r>
              <w:rPr>
                <w:sz w:val="17"/>
              </w:rPr>
              <w:t>26 мая 2026 г.</w:t>
            </w:r>
          </w:p>
        </w:tc>
      </w:tr>
      <w:tr>
        <w:tc>
          <w:tcPr>
            <w:tcW w:type="dxa" w:w="4320"/>
          </w:tcPr>
          <w:p>
            <w:r>
              <w:rPr>
                <w:sz w:val="17"/>
              </w:rPr>
            </w:r>
            <w:r>
              <w:rPr>
                <w:sz w:val="17"/>
              </w:rPr>
              <w:t>Дата отчёта</w:t>
            </w:r>
          </w:p>
        </w:tc>
        <w:tc>
          <w:tcPr>
            <w:tcW w:type="dxa" w:w="4320"/>
          </w:tcPr>
          <w:p>
            <w:r>
              <w:rPr>
                <w:sz w:val="17"/>
              </w:rPr>
            </w:r>
            <w:r>
              <w:rPr>
                <w:sz w:val="17"/>
              </w:rPr>
              <w:t>27 мая 2026 г.</w:t>
            </w:r>
          </w:p>
        </w:tc>
      </w:tr>
      <w:tr>
        <w:tc>
          <w:tcPr>
            <w:tcW w:type="dxa" w:w="4320"/>
          </w:tcPr>
          <w:p>
            <w:r>
              <w:rPr>
                <w:sz w:val="17"/>
              </w:rPr>
            </w:r>
            <w:r>
              <w:rPr>
                <w:sz w:val="17"/>
              </w:rPr>
              <w:t>Дата осмотра</w:t>
            </w:r>
          </w:p>
        </w:tc>
        <w:tc>
          <w:tcPr>
            <w:tcW w:type="dxa" w:w="4320"/>
          </w:tcPr>
          <w:p>
            <w:r>
              <w:rPr>
                <w:sz w:val="17"/>
              </w:rPr>
            </w:r>
            <w:r>
              <w:rPr>
                <w:sz w:val="17"/>
              </w:rPr>
              <w:t>Web-инспекция dpfsd.ru — 26 мая 2026 г.</w:t>
            </w:r>
          </w:p>
        </w:tc>
      </w:tr>
      <w:tr>
        <w:tc>
          <w:tcPr>
            <w:tcW w:type="dxa" w:w="4320"/>
          </w:tcPr>
          <w:p>
            <w:r>
              <w:rPr>
                <w:sz w:val="17"/>
              </w:rPr>
            </w:r>
            <w:r>
              <w:rPr>
                <w:sz w:val="17"/>
              </w:rPr>
              <w:t>Режим качества</w:t>
            </w:r>
          </w:p>
        </w:tc>
        <w:tc>
          <w:tcPr>
            <w:tcW w:type="dxa" w:w="4320"/>
          </w:tcPr>
          <w:p>
            <w:r>
              <w:rPr>
                <w:sz w:val="17"/>
              </w:rPr>
            </w:r>
            <w:r>
              <w:rPr>
                <w:sz w:val="17"/>
              </w:rPr>
              <w:t>Highest Tier</w:t>
            </w:r>
          </w:p>
        </w:tc>
      </w:tr>
    </w:tbl>
    <w:p/>
    <w:p>
      <w:pPr>
        <w:pStyle w:val="Heading2"/>
      </w:pPr>
      <w:r>
        <w:t>4. Идентификация объекта и юридический статус</w:t>
      </w:r>
    </w:p>
    <w:p>
      <w:pPr>
        <w:pStyle w:val="Heading3"/>
      </w:pPr>
      <w:r>
        <w:t>4.1. Идентификационные данные</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Параметр</w:t>
            </w:r>
          </w:p>
        </w:tc>
        <w:tc>
          <w:tcPr>
            <w:tcW w:type="dxa" w:w="4320"/>
          </w:tcPr>
          <w:p>
            <w:r>
              <w:rPr>
                <w:b/>
                <w:sz w:val="17"/>
              </w:rPr>
            </w:r>
            <w:r>
              <w:rPr>
                <w:b/>
                <w:sz w:val="17"/>
              </w:rPr>
              <w:t>Значение</w:t>
            </w:r>
          </w:p>
        </w:tc>
      </w:tr>
      <w:tr>
        <w:tc>
          <w:tcPr>
            <w:tcW w:type="dxa" w:w="4320"/>
          </w:tcPr>
          <w:p>
            <w:r>
              <w:rPr>
                <w:sz w:val="17"/>
              </w:rPr>
            </w:r>
            <w:r>
              <w:rPr>
                <w:sz w:val="17"/>
              </w:rPr>
              <w:t>Веб-ресурс</w:t>
            </w:r>
          </w:p>
        </w:tc>
        <w:tc>
          <w:tcPr>
            <w:tcW w:type="dxa" w:w="4320"/>
          </w:tcPr>
          <w:p>
            <w:r>
              <w:rPr>
                <w:sz w:val="17"/>
              </w:rPr>
            </w:r>
            <w:r>
              <w:rPr>
                <w:sz w:val="17"/>
              </w:rPr>
              <w:t>dpfsd.ru (HTTPS, PIN-overlay)</w:t>
            </w:r>
          </w:p>
        </w:tc>
      </w:tr>
      <w:tr>
        <w:tc>
          <w:tcPr>
            <w:tcW w:type="dxa" w:w="4320"/>
          </w:tcPr>
          <w:p>
            <w:r>
              <w:rPr>
                <w:sz w:val="17"/>
              </w:rPr>
            </w:r>
            <w:r>
              <w:rPr>
                <w:sz w:val="17"/>
              </w:rPr>
              <w:t>Содержательное наименование</w:t>
            </w:r>
          </w:p>
        </w:tc>
        <w:tc>
          <w:tcPr>
            <w:tcW w:type="dxa" w:w="4320"/>
          </w:tcPr>
          <w:p>
            <w:r>
              <w:rPr>
                <w:sz w:val="17"/>
              </w:rPr>
            </w:r>
            <w:r>
              <w:rPr>
                <w:sz w:val="17"/>
              </w:rPr>
              <w:t>ЦПФСР</w:t>
            </w:r>
          </w:p>
        </w:tc>
      </w:tr>
      <w:tr>
        <w:tc>
          <w:tcPr>
            <w:tcW w:type="dxa" w:w="4320"/>
          </w:tcPr>
          <w:p>
            <w:r>
              <w:rPr>
                <w:sz w:val="17"/>
              </w:rPr>
            </w:r>
            <w:r>
              <w:rPr>
                <w:sz w:val="17"/>
              </w:rPr>
              <w:t>Правообладатель концепта (физлицо)</w:t>
            </w:r>
          </w:p>
        </w:tc>
        <w:tc>
          <w:tcPr>
            <w:tcW w:type="dxa" w:w="4320"/>
          </w:tcPr>
          <w:p>
            <w:r>
              <w:rPr>
                <w:sz w:val="17"/>
              </w:rPr>
            </w:r>
            <w:r>
              <w:rPr>
                <w:sz w:val="17"/>
              </w:rPr>
              <w:t>Кагиров Абдул-Хаким Ахмадович</w:t>
            </w:r>
          </w:p>
        </w:tc>
      </w:tr>
      <w:tr>
        <w:tc>
          <w:tcPr>
            <w:tcW w:type="dxa" w:w="4320"/>
          </w:tcPr>
          <w:p>
            <w:r>
              <w:rPr>
                <w:sz w:val="17"/>
              </w:rPr>
            </w:r>
            <w:r>
              <w:rPr>
                <w:sz w:val="17"/>
              </w:rPr>
              <w:t>Корпоративный заказчик</w:t>
            </w:r>
          </w:p>
        </w:tc>
        <w:tc>
          <w:tcPr>
            <w:tcW w:type="dxa" w:w="4320"/>
          </w:tcPr>
          <w:p>
            <w:r>
              <w:rPr>
                <w:sz w:val="17"/>
              </w:rPr>
            </w:r>
            <w:r>
              <w:rPr>
                <w:sz w:val="17"/>
              </w:rPr>
              <w:t>Center Group Company</w:t>
            </w:r>
          </w:p>
        </w:tc>
      </w:tr>
      <w:tr>
        <w:tc>
          <w:tcPr>
            <w:tcW w:type="dxa" w:w="4320"/>
          </w:tcPr>
          <w:p>
            <w:r>
              <w:rPr>
                <w:sz w:val="17"/>
              </w:rPr>
            </w:r>
            <w:r>
              <w:rPr>
                <w:sz w:val="17"/>
              </w:rPr>
              <w:t>Свидетельство о депонировании</w:t>
            </w:r>
          </w:p>
        </w:tc>
        <w:tc>
          <w:tcPr>
            <w:tcW w:type="dxa" w:w="4320"/>
          </w:tcPr>
          <w:p>
            <w:r>
              <w:rPr>
                <w:sz w:val="17"/>
              </w:rPr>
            </w:r>
            <w:r>
              <w:rPr>
                <w:sz w:val="17"/>
              </w:rPr>
              <w:t>№4011265 от 19.12.2024</w:t>
            </w:r>
          </w:p>
        </w:tc>
      </w:tr>
      <w:tr>
        <w:tc>
          <w:tcPr>
            <w:tcW w:type="dxa" w:w="4320"/>
          </w:tcPr>
          <w:p>
            <w:r>
              <w:rPr>
                <w:sz w:val="17"/>
              </w:rPr>
            </w:r>
            <w:r>
              <w:rPr>
                <w:sz w:val="17"/>
              </w:rPr>
              <w:t>Режим правовой охраны</w:t>
            </w:r>
          </w:p>
        </w:tc>
        <w:tc>
          <w:tcPr>
            <w:tcW w:type="dxa" w:w="4320"/>
          </w:tcPr>
          <w:p>
            <w:r>
              <w:rPr>
                <w:sz w:val="17"/>
              </w:rPr>
            </w:r>
            <w:r>
              <w:rPr>
                <w:sz w:val="17"/>
              </w:rPr>
              <w:t>Ноу-хау (ст. 1465 ГК РФ) + ПО (ст. 1262 ГК РФ)</w:t>
            </w:r>
          </w:p>
        </w:tc>
      </w:tr>
      <w:tr>
        <w:tc>
          <w:tcPr>
            <w:tcW w:type="dxa" w:w="4320"/>
          </w:tcPr>
          <w:p>
            <w:r>
              <w:rPr>
                <w:sz w:val="17"/>
              </w:rPr>
            </w:r>
            <w:r>
              <w:rPr>
                <w:sz w:val="17"/>
              </w:rPr>
              <w:t>Проектная компания-оператор</w:t>
            </w:r>
          </w:p>
        </w:tc>
        <w:tc>
          <w:tcPr>
            <w:tcW w:type="dxa" w:w="4320"/>
          </w:tcPr>
          <w:p>
            <w:r>
              <w:rPr>
                <w:sz w:val="17"/>
              </w:rPr>
            </w:r>
            <w:r>
              <w:rPr>
                <w:sz w:val="17"/>
              </w:rPr>
              <w:t>В стадии учреждения (АО)</w:t>
            </w:r>
          </w:p>
        </w:tc>
      </w:tr>
    </w:tbl>
    <w:p/>
    <w:p>
      <w:pPr>
        <w:pStyle w:val="Heading3"/>
      </w:pPr>
      <w:r>
        <w:t>4.2. Юридический фундамент</w:t>
      </w:r>
    </w:p>
    <w:p>
      <w:pPr>
        <w:jc w:val="both"/>
      </w:pPr>
      <w:r>
        <w:t xml:space="preserve">Проект базируется на действующей редакции </w:t>
      </w:r>
      <w:r>
        <w:rPr>
          <w:b/>
        </w:rPr>
        <w:t>№259-ФЗ от 31.07.2020</w:t>
      </w:r>
      <w:r>
        <w:t>, нормативных актах Банка России (Положение №779-П от 03.08.2021), а также на профильных нормах ГК РФ ч. IV (статьи 1262, 1465).</w:t>
      </w:r>
    </w:p>
    <w:p>
      <w:pPr>
        <w:jc w:val="both"/>
      </w:pPr>
      <w:r>
        <w:t xml:space="preserve">Wedge-конструкция (pilot-light) обеспечивает работоспособность проекта </w:t>
      </w:r>
      <w:r>
        <w:rPr>
          <w:b/>
        </w:rPr>
        <w:t>без необходимости принятия поправок в №86-ФЗ</w:t>
      </w:r>
      <w:r>
        <w:t>; полная конфигурация (Stage 2) реализуется при принятии соответствующего нормативно-правового пакета (горизонт T+36…T+60 мес.).</w:t>
      </w:r>
    </w:p>
    <w:p>
      <w:pPr>
        <w:pStyle w:val="Heading3"/>
      </w:pPr>
      <w:r>
        <w:t>4.3. Обременения и ограничения</w:t>
      </w:r>
    </w:p>
    <w:p>
      <w:pPr>
        <w:pStyle w:val="ListBullet"/>
      </w:pPr>
      <w:r>
        <w:t xml:space="preserve">Обременения третьих лиц на момент оценки </w:t>
      </w:r>
      <w:r>
        <w:rPr>
          <w:b/>
        </w:rPr>
        <w:t>отсутствуют</w:t>
      </w:r>
      <w:r>
        <w:t>.</w:t>
      </w:r>
    </w:p>
    <w:p>
      <w:pPr>
        <w:pStyle w:val="ListBullet"/>
      </w:pPr>
      <w:r>
        <w:t xml:space="preserve">Лицензии Банка России и регистрации в реестрах ОИС ЦФА — </w:t>
      </w:r>
      <w:r>
        <w:rPr>
          <w:b/>
        </w:rPr>
        <w:t>не получены</w:t>
      </w:r>
      <w:r>
        <w:t xml:space="preserve"> (риск-фактор учтён в stage discount).</w:t>
      </w:r>
    </w:p>
    <w:p>
      <w:pPr>
        <w:pStyle w:val="ListBullet"/>
      </w:pPr>
      <w:r>
        <w:t xml:space="preserve">Регистрация программ для ЭВМ в Роспатенте — </w:t>
      </w:r>
      <w:r>
        <w:rPr>
          <w:b/>
        </w:rPr>
        <w:t>в работе</w:t>
      </w:r>
      <w:r>
        <w:t xml:space="preserve"> по 4 компонентам.</w:t>
      </w:r>
    </w:p>
    <w:p>
      <w:pPr>
        <w:pStyle w:val="ListBullet"/>
      </w:pPr>
      <w:r>
        <w:t xml:space="preserve">Санкционные ограничения (OFAC SDN, EU consolidated, HM Treasury, MAS, ЕЭК) — </w:t>
      </w:r>
      <w:r>
        <w:rPr>
          <w:b/>
        </w:rPr>
        <w:t>не идентифицированы</w:t>
      </w:r>
      <w:r>
        <w:t>.</w:t>
      </w:r>
    </w:p>
    <w:p>
      <w:pPr>
        <w:pStyle w:val="Heading2"/>
      </w:pPr>
      <w:r>
        <w:t>5. Описание объекта</w:t>
      </w:r>
    </w:p>
    <w:p>
      <w:pPr>
        <w:pStyle w:val="Heading3"/>
      </w:pPr>
      <w:r>
        <w:t>5.1. Функциональная архитектура</w:t>
      </w:r>
    </w:p>
    <w:p>
      <w:pPr>
        <w:jc w:val="both"/>
      </w:pPr>
      <w:r>
        <w:t>ЦПФСР — двухстадийная институциональная платформа выпуска и обращения целевых цифровых финансовых активов с прицельным фондированием программ социального развития через инфраструктурный канал ВЭБ.РФ / Казначейства РФ при надзоре Банка России.</w:t>
      </w:r>
    </w:p>
    <w:p>
      <w:pPr>
        <w:jc w:val="both"/>
      </w:pPr>
      <w:r>
        <w:t>Функциональные блоки:</w:t>
      </w:r>
    </w:p>
    <w:p>
      <w:pPr>
        <w:pStyle w:val="ListBullet"/>
      </w:pPr>
      <w:r>
        <w:rPr>
          <w:b/>
        </w:rPr>
        <w:t>DLT-реестр ЦФА</w:t>
      </w:r>
      <w:r>
        <w:t xml:space="preserve"> (соответствие 779-П).</w:t>
      </w:r>
    </w:p>
    <w:p>
      <w:pPr>
        <w:pStyle w:val="ListBullet"/>
      </w:pPr>
      <w:r>
        <w:rPr>
          <w:b/>
        </w:rPr>
        <w:t>Мобильное приложение</w:t>
      </w:r>
      <w:r>
        <w:t xml:space="preserve"> — PWA + Capacitor v6+; готовый комплект под RuStore.</w:t>
      </w:r>
    </w:p>
    <w:p>
      <w:pPr>
        <w:pStyle w:val="ListBullet"/>
      </w:pPr>
      <w:r>
        <w:rPr>
          <w:b/>
        </w:rPr>
        <w:t>Веб-платформа</w:t>
      </w:r>
      <w:r>
        <w:t xml:space="preserve"> dpfsd.ru — приватная single-page presentation, адаптив 360–1920 px, 3 темы, 3 языка, тикер курсов валют.</w:t>
      </w:r>
    </w:p>
    <w:p>
      <w:pPr>
        <w:pStyle w:val="ListBullet"/>
      </w:pPr>
      <w:r>
        <w:rPr>
          <w:b/>
        </w:rPr>
        <w:t>Конструкторская документация</w:t>
      </w:r>
      <w:r>
        <w:t xml:space="preserve"> по </w:t>
      </w:r>
      <w:r>
        <w:rPr>
          <w:b/>
        </w:rPr>
        <w:t>ГОСТ 19</w:t>
      </w:r>
      <w:r>
        <w:t xml:space="preserve"> — 13 документов.</w:t>
      </w:r>
    </w:p>
    <w:p>
      <w:pPr>
        <w:pStyle w:val="ListBullet"/>
      </w:pPr>
      <w:r>
        <w:rPr>
          <w:b/>
        </w:rPr>
        <w:t>Брендинг</w:t>
      </w:r>
      <w:r>
        <w:t xml:space="preserve"> — фирменный знак «Р», бренд-бук, дизайн-система.</w:t>
      </w:r>
    </w:p>
    <w:p>
      <w:pPr>
        <w:pStyle w:val="Heading3"/>
      </w:pPr>
      <w:r>
        <w:t>5.2. Уровень готовности (TRL / IRL)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Компонент</w:t>
            </w:r>
          </w:p>
        </w:tc>
        <w:tc>
          <w:tcPr>
            <w:tcW w:type="dxa" w:w="4320"/>
          </w:tcPr>
          <w:p>
            <w:r>
              <w:rPr>
                <w:b/>
                <w:sz w:val="17"/>
              </w:rPr>
            </w:r>
            <w:r>
              <w:rPr>
                <w:b/>
                <w:sz w:val="17"/>
              </w:rPr>
              <w:t>Уровень</w:t>
            </w:r>
          </w:p>
        </w:tc>
      </w:tr>
      <w:tr>
        <w:tc>
          <w:tcPr>
            <w:tcW w:type="dxa" w:w="4320"/>
          </w:tcPr>
          <w:p>
            <w:r>
              <w:rPr>
                <w:sz w:val="17"/>
              </w:rPr>
            </w:r>
            <w:r>
              <w:rPr>
                <w:sz w:val="17"/>
              </w:rPr>
              <w:t>Концепция</w:t>
            </w:r>
          </w:p>
        </w:tc>
        <w:tc>
          <w:tcPr>
            <w:tcW w:type="dxa" w:w="4320"/>
          </w:tcPr>
          <w:p>
            <w:r>
              <w:rPr>
                <w:sz w:val="17"/>
              </w:rPr>
            </w:r>
            <w:r>
              <w:rPr>
                <w:sz w:val="17"/>
              </w:rPr>
              <w:t>TRL 7</w:t>
            </w:r>
          </w:p>
        </w:tc>
      </w:tr>
      <w:tr>
        <w:tc>
          <w:tcPr>
            <w:tcW w:type="dxa" w:w="4320"/>
          </w:tcPr>
          <w:p>
            <w:r>
              <w:rPr>
                <w:sz w:val="17"/>
              </w:rPr>
            </w:r>
            <w:r>
              <w:rPr>
                <w:sz w:val="17"/>
              </w:rPr>
              <w:t>Юридический фундамент</w:t>
            </w:r>
          </w:p>
        </w:tc>
        <w:tc>
          <w:tcPr>
            <w:tcW w:type="dxa" w:w="4320"/>
          </w:tcPr>
          <w:p>
            <w:r>
              <w:rPr>
                <w:sz w:val="17"/>
              </w:rPr>
            </w:r>
            <w:r>
              <w:rPr>
                <w:sz w:val="17"/>
              </w:rPr>
              <w:t>9/10</w:t>
            </w:r>
          </w:p>
        </w:tc>
      </w:tr>
      <w:tr>
        <w:tc>
          <w:tcPr>
            <w:tcW w:type="dxa" w:w="4320"/>
          </w:tcPr>
          <w:p>
            <w:r>
              <w:rPr>
                <w:sz w:val="17"/>
              </w:rPr>
            </w:r>
            <w:r>
              <w:rPr>
                <w:sz w:val="17"/>
              </w:rPr>
              <w:t>Финансовая модель (свод показателей v5)</w:t>
            </w:r>
          </w:p>
        </w:tc>
        <w:tc>
          <w:tcPr>
            <w:tcW w:type="dxa" w:w="4320"/>
          </w:tcPr>
          <w:p>
            <w:r>
              <w:rPr>
                <w:sz w:val="17"/>
              </w:rPr>
            </w:r>
            <w:r>
              <w:rPr>
                <w:sz w:val="17"/>
              </w:rPr>
              <w:t>9/10</w:t>
            </w:r>
          </w:p>
        </w:tc>
      </w:tr>
      <w:tr>
        <w:tc>
          <w:tcPr>
            <w:tcW w:type="dxa" w:w="4320"/>
          </w:tcPr>
          <w:p>
            <w:r>
              <w:rPr>
                <w:sz w:val="17"/>
              </w:rPr>
            </w:r>
            <w:r>
              <w:rPr>
                <w:sz w:val="17"/>
              </w:rPr>
              <w:t>Клиентское приложение (PWA)</w:t>
            </w:r>
          </w:p>
        </w:tc>
        <w:tc>
          <w:tcPr>
            <w:tcW w:type="dxa" w:w="4320"/>
          </w:tcPr>
          <w:p>
            <w:r>
              <w:rPr>
                <w:sz w:val="17"/>
              </w:rPr>
            </w:r>
            <w:r>
              <w:rPr>
                <w:sz w:val="17"/>
              </w:rPr>
              <w:t>9/10</w:t>
            </w:r>
          </w:p>
        </w:tc>
      </w:tr>
      <w:tr>
        <w:tc>
          <w:tcPr>
            <w:tcW w:type="dxa" w:w="4320"/>
          </w:tcPr>
          <w:p>
            <w:r>
              <w:rPr>
                <w:sz w:val="17"/>
              </w:rPr>
            </w:r>
            <w:r>
              <w:rPr>
                <w:sz w:val="17"/>
              </w:rPr>
              <w:t>Серверная часть</w:t>
            </w:r>
          </w:p>
        </w:tc>
        <w:tc>
          <w:tcPr>
            <w:tcW w:type="dxa" w:w="4320"/>
          </w:tcPr>
          <w:p>
            <w:r>
              <w:rPr>
                <w:sz w:val="17"/>
              </w:rPr>
            </w:r>
            <w:r>
              <w:rPr>
                <w:sz w:val="17"/>
              </w:rPr>
              <w:t>4/10</w:t>
            </w:r>
          </w:p>
        </w:tc>
      </w:tr>
      <w:tr>
        <w:tc>
          <w:tcPr>
            <w:tcW w:type="dxa" w:w="4320"/>
          </w:tcPr>
          <w:p>
            <w:r>
              <w:rPr>
                <w:sz w:val="17"/>
              </w:rPr>
            </w:r>
            <w:r>
              <w:rPr>
                <w:sz w:val="17"/>
              </w:rPr>
              <w:t>Лицензирование (ЦБ РФ, ФСТЭК, ФСБ)</w:t>
            </w:r>
          </w:p>
        </w:tc>
        <w:tc>
          <w:tcPr>
            <w:tcW w:type="dxa" w:w="4320"/>
          </w:tcPr>
          <w:p>
            <w:r>
              <w:rPr>
                <w:sz w:val="17"/>
              </w:rPr>
            </w:r>
            <w:r>
              <w:rPr>
                <w:sz w:val="17"/>
              </w:rPr>
              <w:t>3/10</w:t>
            </w:r>
          </w:p>
        </w:tc>
      </w:tr>
      <w:tr>
        <w:tc>
          <w:tcPr>
            <w:tcW w:type="dxa" w:w="4320"/>
          </w:tcPr>
          <w:p>
            <w:r>
              <w:rPr>
                <w:sz w:val="17"/>
              </w:rPr>
            </w:r>
            <w:r>
              <w:rPr>
                <w:sz w:val="17"/>
              </w:rPr>
              <w:t>Брендинг и веб-сайт</w:t>
            </w:r>
          </w:p>
        </w:tc>
        <w:tc>
          <w:tcPr>
            <w:tcW w:type="dxa" w:w="4320"/>
          </w:tcPr>
          <w:p>
            <w:r>
              <w:rPr>
                <w:sz w:val="17"/>
              </w:rPr>
            </w:r>
            <w:r>
              <w:rPr>
                <w:sz w:val="17"/>
              </w:rPr>
              <w:t>9/10</w:t>
            </w:r>
          </w:p>
        </w:tc>
      </w:tr>
      <w:tr>
        <w:tc>
          <w:tcPr>
            <w:tcW w:type="dxa" w:w="4320"/>
          </w:tcPr>
          <w:p>
            <w:r>
              <w:rPr>
                <w:sz w:val="17"/>
              </w:rPr>
            </w:r>
            <w:r>
              <w:rPr>
                <w:sz w:val="17"/>
              </w:rPr>
              <w:t>Партнёрский каркас (Stage 1)</w:t>
            </w:r>
          </w:p>
        </w:tc>
        <w:tc>
          <w:tcPr>
            <w:tcW w:type="dxa" w:w="4320"/>
          </w:tcPr>
          <w:p>
            <w:r>
              <w:rPr>
                <w:sz w:val="17"/>
              </w:rPr>
            </w:r>
            <w:r>
              <w:rPr>
                <w:sz w:val="17"/>
              </w:rPr>
              <w:t>5/10</w:t>
            </w:r>
          </w:p>
        </w:tc>
      </w:tr>
    </w:tbl>
    <w:p/>
    <w:p>
      <w:pPr>
        <w:pStyle w:val="Heading3"/>
      </w:pPr>
      <w:r>
        <w:t>5.3. Композитный балл аудита (post-Горизонт-III)</w:t>
      </w:r>
    </w:p>
    <w:p>
      <w:pPr>
        <w:jc w:val="both"/>
      </w:pPr>
      <w:r>
        <w:t xml:space="preserve">По сводному аудиту проекта от 24.05.2026 композитный балл составил </w:t>
      </w:r>
      <w:r>
        <w:rPr>
          <w:b/>
        </w:rPr>
        <w:t>9,22 / 10</w:t>
      </w:r>
      <w:r>
        <w:t>: 12/12 критических рисков закрыто; 27/33 средних рисков закрыто; 29/29 инвариантов CI пройдено.</w:t>
      </w:r>
    </w:p>
    <w:p>
      <w:pPr>
        <w:pStyle w:val="Heading2"/>
      </w:pPr>
      <w:r>
        <w:t>6. Анализ рынка и отрасли</w:t>
      </w:r>
    </w:p>
    <w:p>
      <w:pPr>
        <w:pStyle w:val="Heading3"/>
      </w:pPr>
      <w:r>
        <w:t>6.1. Макроэкономический контекст РФ на дату оценки</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Параметр</w:t>
            </w:r>
          </w:p>
        </w:tc>
        <w:tc>
          <w:tcPr>
            <w:tcW w:type="dxa" w:w="4320"/>
          </w:tcPr>
          <w:p>
            <w:r>
              <w:rPr>
                <w:b/>
                <w:sz w:val="17"/>
              </w:rPr>
            </w:r>
            <w:r>
              <w:rPr>
                <w:b/>
                <w:sz w:val="17"/>
              </w:rPr>
              <w:t>Значение</w:t>
            </w:r>
          </w:p>
        </w:tc>
      </w:tr>
      <w:tr>
        <w:tc>
          <w:tcPr>
            <w:tcW w:type="dxa" w:w="4320"/>
          </w:tcPr>
          <w:p>
            <w:r>
              <w:rPr>
                <w:sz w:val="17"/>
              </w:rPr>
            </w:r>
            <w:r>
              <w:rPr>
                <w:sz w:val="17"/>
              </w:rPr>
              <w:t>Ключевая ставка ЦБ РФ</w:t>
            </w:r>
          </w:p>
        </w:tc>
        <w:tc>
          <w:tcPr>
            <w:tcW w:type="dxa" w:w="4320"/>
          </w:tcPr>
          <w:p>
            <w:r>
              <w:rPr>
                <w:sz w:val="17"/>
              </w:rPr>
            </w:r>
            <w:r>
              <w:rPr>
                <w:sz w:val="17"/>
              </w:rPr>
              <w:t>14,00% (с 28.04.2026)</w:t>
            </w:r>
          </w:p>
        </w:tc>
      </w:tr>
      <w:tr>
        <w:tc>
          <w:tcPr>
            <w:tcW w:type="dxa" w:w="4320"/>
          </w:tcPr>
          <w:p>
            <w:r>
              <w:rPr>
                <w:sz w:val="17"/>
              </w:rPr>
            </w:r>
            <w:r>
              <w:rPr>
                <w:sz w:val="17"/>
              </w:rPr>
              <w:t>Доходность 10Y ОФЗ (рыночная)</w:t>
            </w:r>
          </w:p>
        </w:tc>
        <w:tc>
          <w:tcPr>
            <w:tcW w:type="dxa" w:w="4320"/>
          </w:tcPr>
          <w:p>
            <w:r>
              <w:rPr>
                <w:sz w:val="17"/>
              </w:rPr>
            </w:r>
            <w:r>
              <w:rPr>
                <w:sz w:val="17"/>
              </w:rPr>
              <w:t>14,73% (21.05.2026)</w:t>
            </w:r>
          </w:p>
        </w:tc>
      </w:tr>
      <w:tr>
        <w:tc>
          <w:tcPr>
            <w:tcW w:type="dxa" w:w="4320"/>
          </w:tcPr>
          <w:p>
            <w:r>
              <w:rPr>
                <w:sz w:val="17"/>
              </w:rPr>
            </w:r>
            <w:r>
              <w:rPr>
                <w:sz w:val="17"/>
              </w:rPr>
              <w:t>Доходность 10Y ОФЗ (ОФЗ-26249, аукцион)</w:t>
            </w:r>
          </w:p>
        </w:tc>
        <w:tc>
          <w:tcPr>
            <w:tcW w:type="dxa" w:w="4320"/>
          </w:tcPr>
          <w:p>
            <w:r>
              <w:rPr>
                <w:sz w:val="17"/>
              </w:rPr>
            </w:r>
            <w:r>
              <w:rPr>
                <w:sz w:val="17"/>
              </w:rPr>
              <w:t>14,75% (13.05.2026)</w:t>
            </w:r>
          </w:p>
        </w:tc>
      </w:tr>
      <w:tr>
        <w:tc>
          <w:tcPr>
            <w:tcW w:type="dxa" w:w="4320"/>
          </w:tcPr>
          <w:p>
            <w:r>
              <w:rPr>
                <w:sz w:val="17"/>
              </w:rPr>
            </w:r>
            <w:r>
              <w:rPr>
                <w:sz w:val="17"/>
              </w:rPr>
              <w:t>USD/RUB официальный</w:t>
            </w:r>
          </w:p>
        </w:tc>
        <w:tc>
          <w:tcPr>
            <w:tcW w:type="dxa" w:w="4320"/>
          </w:tcPr>
          <w:p>
            <w:r>
              <w:rPr>
                <w:sz w:val="17"/>
              </w:rPr>
            </w:r>
            <w:r>
              <w:rPr>
                <w:sz w:val="17"/>
              </w:rPr>
              <w:t>71,5460 (26.05.2026)</w:t>
            </w:r>
          </w:p>
        </w:tc>
      </w:tr>
      <w:tr>
        <w:tc>
          <w:tcPr>
            <w:tcW w:type="dxa" w:w="4320"/>
          </w:tcPr>
          <w:p>
            <w:r>
              <w:rPr>
                <w:sz w:val="17"/>
              </w:rPr>
            </w:r>
            <w:r>
              <w:rPr>
                <w:sz w:val="17"/>
              </w:rPr>
              <w:t>EUR/RUB официальный</w:t>
            </w:r>
          </w:p>
        </w:tc>
        <w:tc>
          <w:tcPr>
            <w:tcW w:type="dxa" w:w="4320"/>
          </w:tcPr>
          <w:p>
            <w:r>
              <w:rPr>
                <w:sz w:val="17"/>
              </w:rPr>
            </w:r>
            <w:r>
              <w:rPr>
                <w:sz w:val="17"/>
              </w:rPr>
              <w:t>85,4493 (26.05.2026)</w:t>
            </w:r>
          </w:p>
        </w:tc>
      </w:tr>
      <w:tr>
        <w:tc>
          <w:tcPr>
            <w:tcW w:type="dxa" w:w="4320"/>
          </w:tcPr>
          <w:p>
            <w:r>
              <w:rPr>
                <w:sz w:val="17"/>
              </w:rPr>
            </w:r>
            <w:r>
              <w:rPr>
                <w:sz w:val="17"/>
              </w:rPr>
              <w:t>CNY/RUB официальный</w:t>
            </w:r>
          </w:p>
        </w:tc>
        <w:tc>
          <w:tcPr>
            <w:tcW w:type="dxa" w:w="4320"/>
          </w:tcPr>
          <w:p>
            <w:r>
              <w:rPr>
                <w:sz w:val="17"/>
              </w:rPr>
            </w:r>
            <w:r>
              <w:rPr>
                <w:sz w:val="17"/>
              </w:rPr>
              <w:t>10,5317 (26.05.2026)</w:t>
            </w:r>
          </w:p>
        </w:tc>
      </w:tr>
      <w:tr>
        <w:tc>
          <w:tcPr>
            <w:tcW w:type="dxa" w:w="4320"/>
          </w:tcPr>
          <w:p>
            <w:r>
              <w:rPr>
                <w:sz w:val="17"/>
              </w:rPr>
            </w:r>
            <w:r>
              <w:rPr>
                <w:sz w:val="17"/>
              </w:rPr>
              <w:t>Прогноз ЦБ РФ средней КС на 2026</w:t>
            </w:r>
          </w:p>
        </w:tc>
        <w:tc>
          <w:tcPr>
            <w:tcW w:type="dxa" w:w="4320"/>
          </w:tcPr>
          <w:p>
            <w:r>
              <w:rPr>
                <w:sz w:val="17"/>
              </w:rPr>
            </w:r>
            <w:r>
              <w:rPr>
                <w:sz w:val="17"/>
              </w:rPr>
              <w:t>14,0–14,5%</w:t>
            </w:r>
          </w:p>
        </w:tc>
      </w:tr>
      <w:tr>
        <w:tc>
          <w:tcPr>
            <w:tcW w:type="dxa" w:w="4320"/>
          </w:tcPr>
          <w:p>
            <w:r>
              <w:rPr>
                <w:sz w:val="17"/>
              </w:rPr>
            </w:r>
            <w:r>
              <w:rPr>
                <w:sz w:val="17"/>
              </w:rPr>
              <w:t>Прогноз ЦБ РФ средней КС на 2027</w:t>
            </w:r>
          </w:p>
        </w:tc>
        <w:tc>
          <w:tcPr>
            <w:tcW w:type="dxa" w:w="4320"/>
          </w:tcPr>
          <w:p>
            <w:r>
              <w:rPr>
                <w:sz w:val="17"/>
              </w:rPr>
            </w:r>
            <w:r>
              <w:rPr>
                <w:sz w:val="17"/>
              </w:rPr>
              <w:t>8,0–10,0%</w:t>
            </w:r>
          </w:p>
        </w:tc>
      </w:tr>
      <w:tr>
        <w:tc>
          <w:tcPr>
            <w:tcW w:type="dxa" w:w="4320"/>
          </w:tcPr>
          <w:p>
            <w:r>
              <w:rPr>
                <w:sz w:val="17"/>
              </w:rPr>
            </w:r>
            <w:r>
              <w:rPr>
                <w:sz w:val="17"/>
              </w:rPr>
              <w:t>Устойчивый рост цен</w:t>
            </w:r>
          </w:p>
        </w:tc>
        <w:tc>
          <w:tcPr>
            <w:tcW w:type="dxa" w:w="4320"/>
          </w:tcPr>
          <w:p>
            <w:r>
              <w:rPr>
                <w:sz w:val="17"/>
              </w:rPr>
            </w:r>
            <w:r>
              <w:rPr>
                <w:sz w:val="17"/>
              </w:rPr>
              <w:t>4–5% (annualised)</w:t>
            </w:r>
          </w:p>
        </w:tc>
      </w:tr>
    </w:tbl>
    <w:p/>
    <w:p>
      <w:pPr>
        <w:jc w:val="both"/>
      </w:pPr>
      <w:r>
        <w:t>Прогноз снижения ключевой ставки в 2027 г. создаёт встречный положительный фактор к будущим оценкам проекта.</w:t>
      </w:r>
    </w:p>
    <w:p>
      <w:pPr>
        <w:pStyle w:val="Heading3"/>
      </w:pPr>
      <w:r>
        <w:t>6.2. Рынок токенизации реальных активов (RWA)</w:t>
      </w:r>
    </w:p>
    <w:p>
      <w:pPr>
        <w:jc w:val="both"/>
      </w:pPr>
      <w:r>
        <w:t xml:space="preserve">Глобальный on-chain RWA-рынок превысил </w:t>
      </w:r>
      <w:r>
        <w:rPr>
          <w:b/>
        </w:rPr>
        <w:t>22 млрд USD</w:t>
      </w:r>
      <w:r>
        <w:t xml:space="preserve"> в Q1 2026; токенизированные US Treasuries — около 14 млрд USD; BlackRock BUIDL — свыше 2,1 млрд USD AuM. Российский сегмент ЦФА (Атомайз, Сбер CFA, А-Токен и др.) находится в стадии институционализации; годовая ёмкость целевого фондирования социальных программ через ЦФА — 18–32 трлн ₽ на 10 лет.</w:t>
      </w:r>
    </w:p>
    <w:p>
      <w:pPr>
        <w:pStyle w:val="Heading3"/>
      </w:pPr>
      <w:r>
        <w:t>6.3. Премии за риск (Damodaran, Россия)</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Параметр</w:t>
            </w:r>
          </w:p>
        </w:tc>
        <w:tc>
          <w:tcPr>
            <w:tcW w:type="dxa" w:w="4320"/>
          </w:tcPr>
          <w:p>
            <w:r>
              <w:rPr>
                <w:b/>
                <w:sz w:val="17"/>
              </w:rPr>
            </w:r>
            <w:r>
              <w:rPr>
                <w:b/>
                <w:sz w:val="17"/>
              </w:rPr>
              <w:t>Значение</w:t>
            </w:r>
          </w:p>
        </w:tc>
      </w:tr>
      <w:tr>
        <w:tc>
          <w:tcPr>
            <w:tcW w:type="dxa" w:w="4320"/>
          </w:tcPr>
          <w:p>
            <w:r>
              <w:rPr>
                <w:sz w:val="17"/>
              </w:rPr>
            </w:r>
            <w:r>
              <w:rPr>
                <w:sz w:val="17"/>
              </w:rPr>
              <w:t>Country Risk Premium (CRP), Russia</w:t>
            </w:r>
          </w:p>
        </w:tc>
        <w:tc>
          <w:tcPr>
            <w:tcW w:type="dxa" w:w="4320"/>
          </w:tcPr>
          <w:p>
            <w:r>
              <w:rPr>
                <w:sz w:val="17"/>
              </w:rPr>
            </w:r>
            <w:r>
              <w:rPr>
                <w:sz w:val="17"/>
              </w:rPr>
              <w:t>3,90% (Damodaran, 05.01.2026)</w:t>
            </w:r>
          </w:p>
        </w:tc>
      </w:tr>
      <w:tr>
        <w:tc>
          <w:tcPr>
            <w:tcW w:type="dxa" w:w="4320"/>
          </w:tcPr>
          <w:p>
            <w:r>
              <w:rPr>
                <w:sz w:val="17"/>
              </w:rPr>
            </w:r>
            <w:r>
              <w:rPr>
                <w:sz w:val="17"/>
              </w:rPr>
              <w:t>Total Equity Risk Premium (ERP), Russia</w:t>
            </w:r>
          </w:p>
        </w:tc>
        <w:tc>
          <w:tcPr>
            <w:tcW w:type="dxa" w:w="4320"/>
          </w:tcPr>
          <w:p>
            <w:r>
              <w:rPr>
                <w:sz w:val="17"/>
              </w:rPr>
            </w:r>
            <w:r>
              <w:rPr>
                <w:sz w:val="17"/>
              </w:rPr>
              <w:t>8,13% (Damodaran, 05.01.2026)</w:t>
            </w:r>
          </w:p>
        </w:tc>
      </w:tr>
      <w:tr>
        <w:tc>
          <w:tcPr>
            <w:tcW w:type="dxa" w:w="4320"/>
          </w:tcPr>
          <w:p>
            <w:r>
              <w:rPr>
                <w:sz w:val="17"/>
              </w:rPr>
            </w:r>
            <w:r>
              <w:rPr>
                <w:sz w:val="17"/>
              </w:rPr>
              <w:t>Adjusted Default Spread</w:t>
            </w:r>
          </w:p>
        </w:tc>
        <w:tc>
          <w:tcPr>
            <w:tcW w:type="dxa" w:w="4320"/>
          </w:tcPr>
          <w:p>
            <w:r>
              <w:rPr>
                <w:sz w:val="17"/>
              </w:rPr>
            </w:r>
            <w:r>
              <w:rPr>
                <w:sz w:val="17"/>
              </w:rPr>
              <w:t>2,56%</w:t>
            </w:r>
          </w:p>
        </w:tc>
      </w:tr>
      <w:tr>
        <w:tc>
          <w:tcPr>
            <w:tcW w:type="dxa" w:w="4320"/>
          </w:tcPr>
          <w:p>
            <w:r>
              <w:rPr>
                <w:sz w:val="17"/>
              </w:rPr>
            </w:r>
            <w:r>
              <w:rPr>
                <w:sz w:val="17"/>
              </w:rPr>
              <w:t>β Financial Services (unlevered)</w:t>
            </w:r>
          </w:p>
        </w:tc>
        <w:tc>
          <w:tcPr>
            <w:tcW w:type="dxa" w:w="4320"/>
          </w:tcPr>
          <w:p>
            <w:r>
              <w:rPr>
                <w:sz w:val="17"/>
              </w:rPr>
            </w:r>
            <w:r>
              <w:rPr>
                <w:sz w:val="17"/>
              </w:rPr>
              <w:t>≈ 1,15</w:t>
            </w:r>
          </w:p>
        </w:tc>
      </w:tr>
    </w:tbl>
    <w:p/>
    <w:p>
      <w:pPr>
        <w:pStyle w:val="Heading3"/>
      </w:pPr>
      <w:r>
        <w:t>6.4. Сопоставимые компании и сделки (2026)</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Компания / сделка</w:t>
            </w:r>
          </w:p>
        </w:tc>
        <w:tc>
          <w:tcPr>
            <w:tcW w:type="dxa" w:w="1440"/>
          </w:tcPr>
          <w:p>
            <w:r>
              <w:rPr>
                <w:b/>
                <w:sz w:val="17"/>
              </w:rPr>
            </w:r>
            <w:r>
              <w:rPr>
                <w:b/>
                <w:sz w:val="17"/>
              </w:rPr>
              <w:t>Сегмент</w:t>
            </w:r>
          </w:p>
        </w:tc>
        <w:tc>
          <w:tcPr>
            <w:tcW w:type="dxa" w:w="1440"/>
          </w:tcPr>
          <w:p>
            <w:r>
              <w:rPr>
                <w:b/>
                <w:sz w:val="17"/>
              </w:rPr>
            </w:r>
            <w:r>
              <w:rPr>
                <w:b/>
                <w:sz w:val="17"/>
              </w:rPr>
              <w:t>Стадия</w:t>
            </w:r>
          </w:p>
        </w:tc>
        <w:tc>
          <w:tcPr>
            <w:tcW w:type="dxa" w:w="1440"/>
          </w:tcPr>
          <w:p>
            <w:r>
              <w:rPr>
                <w:b/>
                <w:sz w:val="17"/>
              </w:rPr>
            </w:r>
            <w:r>
              <w:rPr>
                <w:b/>
                <w:sz w:val="17"/>
              </w:rPr>
              <w:t>EV, $ млн</w:t>
            </w:r>
          </w:p>
        </w:tc>
        <w:tc>
          <w:tcPr>
            <w:tcW w:type="dxa" w:w="1440"/>
          </w:tcPr>
          <w:p>
            <w:r>
              <w:rPr>
                <w:b/>
                <w:sz w:val="17"/>
              </w:rPr>
            </w:r>
            <w:r>
              <w:rPr>
                <w:b/>
                <w:sz w:val="17"/>
              </w:rPr>
              <w:t>Revenue, $ млн</w:t>
            </w:r>
          </w:p>
        </w:tc>
        <w:tc>
          <w:tcPr>
            <w:tcW w:type="dxa" w:w="1440"/>
          </w:tcPr>
          <w:p>
            <w:r>
              <w:rPr>
                <w:b/>
                <w:sz w:val="17"/>
              </w:rPr>
            </w:r>
            <w:r>
              <w:rPr>
                <w:b/>
                <w:sz w:val="17"/>
              </w:rPr>
              <w:t>EV/Revenue</w:t>
            </w:r>
          </w:p>
        </w:tc>
      </w:tr>
      <w:tr>
        <w:tc>
          <w:tcPr>
            <w:tcW w:type="dxa" w:w="1440"/>
          </w:tcPr>
          <w:p>
            <w:r>
              <w:rPr>
                <w:sz w:val="17"/>
              </w:rPr>
            </w:r>
            <w:r>
              <w:rPr>
                <w:sz w:val="17"/>
              </w:rPr>
              <w:t>Securitize</w:t>
            </w:r>
          </w:p>
        </w:tc>
        <w:tc>
          <w:tcPr>
            <w:tcW w:type="dxa" w:w="1440"/>
          </w:tcPr>
          <w:p>
            <w:r>
              <w:rPr>
                <w:sz w:val="17"/>
              </w:rPr>
            </w:r>
            <w:r>
              <w:rPr>
                <w:sz w:val="17"/>
              </w:rPr>
              <w:t>RWA (US, Series C)</w:t>
            </w:r>
          </w:p>
        </w:tc>
        <w:tc>
          <w:tcPr>
            <w:tcW w:type="dxa" w:w="1440"/>
          </w:tcPr>
          <w:p>
            <w:r>
              <w:rPr>
                <w:sz w:val="17"/>
              </w:rPr>
            </w:r>
            <w:r>
              <w:rPr>
                <w:sz w:val="17"/>
              </w:rPr>
              <w:t>Late VC</w:t>
            </w:r>
          </w:p>
        </w:tc>
        <w:tc>
          <w:tcPr>
            <w:tcW w:type="dxa" w:w="1440"/>
          </w:tcPr>
          <w:p>
            <w:r>
              <w:rPr>
                <w:sz w:val="17"/>
              </w:rPr>
            </w:r>
            <w:r>
              <w:rPr>
                <w:sz w:val="17"/>
              </w:rPr>
              <w:t>980</w:t>
            </w:r>
          </w:p>
        </w:tc>
        <w:tc>
          <w:tcPr>
            <w:tcW w:type="dxa" w:w="1440"/>
          </w:tcPr>
          <w:p>
            <w:r>
              <w:rPr>
                <w:sz w:val="17"/>
              </w:rPr>
            </w:r>
            <w:r>
              <w:rPr>
                <w:sz w:val="17"/>
              </w:rPr>
              <w:t>60</w:t>
            </w:r>
          </w:p>
        </w:tc>
        <w:tc>
          <w:tcPr>
            <w:tcW w:type="dxa" w:w="1440"/>
          </w:tcPr>
          <w:p>
            <w:r>
              <w:rPr>
                <w:sz w:val="17"/>
              </w:rPr>
            </w:r>
            <w:r>
              <w:rPr>
                <w:sz w:val="17"/>
              </w:rPr>
              <w:t>16,3×</w:t>
            </w:r>
          </w:p>
        </w:tc>
      </w:tr>
      <w:tr>
        <w:tc>
          <w:tcPr>
            <w:tcW w:type="dxa" w:w="1440"/>
          </w:tcPr>
          <w:p>
            <w:r>
              <w:rPr>
                <w:sz w:val="17"/>
              </w:rPr>
            </w:r>
            <w:r>
              <w:rPr>
                <w:sz w:val="17"/>
              </w:rPr>
              <w:t>Polymath / Tokeny</w:t>
            </w:r>
          </w:p>
        </w:tc>
        <w:tc>
          <w:tcPr>
            <w:tcW w:type="dxa" w:w="1440"/>
          </w:tcPr>
          <w:p>
            <w:r>
              <w:rPr>
                <w:sz w:val="17"/>
              </w:rPr>
            </w:r>
            <w:r>
              <w:rPr>
                <w:sz w:val="17"/>
              </w:rPr>
              <w:t>Security Tokens</w:t>
            </w:r>
          </w:p>
        </w:tc>
        <w:tc>
          <w:tcPr>
            <w:tcW w:type="dxa" w:w="1440"/>
          </w:tcPr>
          <w:p>
            <w:r>
              <w:rPr>
                <w:sz w:val="17"/>
              </w:rPr>
            </w:r>
            <w:r>
              <w:rPr>
                <w:sz w:val="17"/>
              </w:rPr>
              <w:t>Late-stage</w:t>
            </w:r>
          </w:p>
        </w:tc>
        <w:tc>
          <w:tcPr>
            <w:tcW w:type="dxa" w:w="1440"/>
          </w:tcPr>
          <w:p>
            <w:r>
              <w:rPr>
                <w:sz w:val="17"/>
              </w:rPr>
            </w:r>
            <w:r>
              <w:rPr>
                <w:sz w:val="17"/>
              </w:rPr>
              <w:t>280</w:t>
            </w:r>
          </w:p>
        </w:tc>
        <w:tc>
          <w:tcPr>
            <w:tcW w:type="dxa" w:w="1440"/>
          </w:tcPr>
          <w:p>
            <w:r>
              <w:rPr>
                <w:sz w:val="17"/>
              </w:rPr>
            </w:r>
            <w:r>
              <w:rPr>
                <w:sz w:val="17"/>
              </w:rPr>
              <w:t>18</w:t>
            </w:r>
          </w:p>
        </w:tc>
        <w:tc>
          <w:tcPr>
            <w:tcW w:type="dxa" w:w="1440"/>
          </w:tcPr>
          <w:p>
            <w:r>
              <w:rPr>
                <w:sz w:val="17"/>
              </w:rPr>
            </w:r>
            <w:r>
              <w:rPr>
                <w:sz w:val="17"/>
              </w:rPr>
              <w:t>15,6×</w:t>
            </w:r>
          </w:p>
        </w:tc>
      </w:tr>
      <w:tr>
        <w:tc>
          <w:tcPr>
            <w:tcW w:type="dxa" w:w="1440"/>
          </w:tcPr>
          <w:p>
            <w:r>
              <w:rPr>
                <w:sz w:val="17"/>
              </w:rPr>
            </w:r>
            <w:r>
              <w:rPr>
                <w:sz w:val="17"/>
              </w:rPr>
              <w:t>HQLAx</w:t>
            </w:r>
          </w:p>
        </w:tc>
        <w:tc>
          <w:tcPr>
            <w:tcW w:type="dxa" w:w="1440"/>
          </w:tcPr>
          <w:p>
            <w:r>
              <w:rPr>
                <w:sz w:val="17"/>
              </w:rPr>
            </w:r>
            <w:r>
              <w:rPr>
                <w:sz w:val="17"/>
              </w:rPr>
              <w:t>DLT-collateral (CH, Series B)</w:t>
            </w:r>
          </w:p>
        </w:tc>
        <w:tc>
          <w:tcPr>
            <w:tcW w:type="dxa" w:w="1440"/>
          </w:tcPr>
          <w:p>
            <w:r>
              <w:rPr>
                <w:sz w:val="17"/>
              </w:rPr>
            </w:r>
            <w:r>
              <w:rPr>
                <w:sz w:val="17"/>
              </w:rPr>
              <w:t>Late-stage</w:t>
            </w:r>
          </w:p>
        </w:tc>
        <w:tc>
          <w:tcPr>
            <w:tcW w:type="dxa" w:w="1440"/>
          </w:tcPr>
          <w:p>
            <w:r>
              <w:rPr>
                <w:sz w:val="17"/>
              </w:rPr>
            </w:r>
            <w:r>
              <w:rPr>
                <w:sz w:val="17"/>
              </w:rPr>
              <w:t>180</w:t>
            </w:r>
          </w:p>
        </w:tc>
        <w:tc>
          <w:tcPr>
            <w:tcW w:type="dxa" w:w="1440"/>
          </w:tcPr>
          <w:p>
            <w:r>
              <w:rPr>
                <w:sz w:val="17"/>
              </w:rPr>
            </w:r>
            <w:r>
              <w:rPr>
                <w:sz w:val="17"/>
              </w:rPr>
              <w:t>14</w:t>
            </w:r>
          </w:p>
        </w:tc>
        <w:tc>
          <w:tcPr>
            <w:tcW w:type="dxa" w:w="1440"/>
          </w:tcPr>
          <w:p>
            <w:r>
              <w:rPr>
                <w:sz w:val="17"/>
              </w:rPr>
            </w:r>
            <w:r>
              <w:rPr>
                <w:sz w:val="17"/>
              </w:rPr>
              <w:t>12,9×</w:t>
            </w:r>
          </w:p>
        </w:tc>
      </w:tr>
      <w:tr>
        <w:tc>
          <w:tcPr>
            <w:tcW w:type="dxa" w:w="1440"/>
          </w:tcPr>
          <w:p>
            <w:r>
              <w:rPr>
                <w:sz w:val="17"/>
              </w:rPr>
            </w:r>
            <w:r>
              <w:rPr>
                <w:sz w:val="17"/>
              </w:rPr>
              <w:t>Atomyze</w:t>
            </w:r>
          </w:p>
        </w:tc>
        <w:tc>
          <w:tcPr>
            <w:tcW w:type="dxa" w:w="1440"/>
          </w:tcPr>
          <w:p>
            <w:r>
              <w:rPr>
                <w:sz w:val="17"/>
              </w:rPr>
            </w:r>
            <w:r>
              <w:rPr>
                <w:sz w:val="17"/>
              </w:rPr>
              <w:t>ЦФА-оператор (RU, Series A)</w:t>
            </w:r>
          </w:p>
        </w:tc>
        <w:tc>
          <w:tcPr>
            <w:tcW w:type="dxa" w:w="1440"/>
          </w:tcPr>
          <w:p>
            <w:r>
              <w:rPr>
                <w:sz w:val="17"/>
              </w:rPr>
            </w:r>
            <w:r>
              <w:rPr>
                <w:sz w:val="17"/>
              </w:rPr>
              <w:t>Series A</w:t>
            </w:r>
          </w:p>
        </w:tc>
        <w:tc>
          <w:tcPr>
            <w:tcW w:type="dxa" w:w="1440"/>
          </w:tcPr>
          <w:p>
            <w:r>
              <w:rPr>
                <w:sz w:val="17"/>
              </w:rPr>
            </w:r>
            <w:r>
              <w:rPr>
                <w:sz w:val="17"/>
              </w:rPr>
              <w:t>~85</w:t>
            </w:r>
          </w:p>
        </w:tc>
        <w:tc>
          <w:tcPr>
            <w:tcW w:type="dxa" w:w="1440"/>
          </w:tcPr>
          <w:p>
            <w:r>
              <w:rPr>
                <w:sz w:val="17"/>
              </w:rPr>
            </w:r>
            <w:r>
              <w:rPr>
                <w:sz w:val="17"/>
              </w:rPr>
              <w:t>~6</w:t>
            </w:r>
          </w:p>
        </w:tc>
        <w:tc>
          <w:tcPr>
            <w:tcW w:type="dxa" w:w="1440"/>
          </w:tcPr>
          <w:p>
            <w:r>
              <w:rPr>
                <w:sz w:val="17"/>
              </w:rPr>
            </w:r>
            <w:r>
              <w:rPr>
                <w:sz w:val="17"/>
              </w:rPr>
              <w:t>14,2×</w:t>
            </w:r>
          </w:p>
        </w:tc>
      </w:tr>
      <w:tr>
        <w:tc>
          <w:tcPr>
            <w:tcW w:type="dxa" w:w="1440"/>
          </w:tcPr>
          <w:p>
            <w:r>
              <w:rPr>
                <w:sz w:val="17"/>
              </w:rPr>
            </w:r>
            <w:r>
              <w:rPr>
                <w:sz w:val="17"/>
              </w:rPr>
              <w:t>СберCFA (внешн. оценка)</w:t>
            </w:r>
          </w:p>
        </w:tc>
        <w:tc>
          <w:tcPr>
            <w:tcW w:type="dxa" w:w="1440"/>
          </w:tcPr>
          <w:p>
            <w:r>
              <w:rPr>
                <w:sz w:val="17"/>
              </w:rPr>
            </w:r>
            <w:r>
              <w:rPr>
                <w:sz w:val="17"/>
              </w:rPr>
              <w:t>ЦФА-оператор (RU)</w:t>
            </w:r>
          </w:p>
        </w:tc>
        <w:tc>
          <w:tcPr>
            <w:tcW w:type="dxa" w:w="1440"/>
          </w:tcPr>
          <w:p>
            <w:r>
              <w:rPr>
                <w:sz w:val="17"/>
              </w:rPr>
            </w:r>
            <w:r>
              <w:rPr>
                <w:sz w:val="17"/>
              </w:rPr>
              <w:t>Mature</w:t>
            </w:r>
          </w:p>
        </w:tc>
        <w:tc>
          <w:tcPr>
            <w:tcW w:type="dxa" w:w="1440"/>
          </w:tcPr>
          <w:p>
            <w:r>
              <w:rPr>
                <w:sz w:val="17"/>
              </w:rPr>
            </w:r>
            <w:r>
              <w:rPr>
                <w:sz w:val="17"/>
              </w:rPr>
              <w:t>~230</w:t>
            </w:r>
          </w:p>
        </w:tc>
        <w:tc>
          <w:tcPr>
            <w:tcW w:type="dxa" w:w="1440"/>
          </w:tcPr>
          <w:p>
            <w:r>
              <w:rPr>
                <w:sz w:val="17"/>
              </w:rPr>
            </w:r>
            <w:r>
              <w:rPr>
                <w:sz w:val="17"/>
              </w:rPr>
              <w:t>~22</w:t>
            </w:r>
          </w:p>
        </w:tc>
        <w:tc>
          <w:tcPr>
            <w:tcW w:type="dxa" w:w="1440"/>
          </w:tcPr>
          <w:p>
            <w:r>
              <w:rPr>
                <w:sz w:val="17"/>
              </w:rPr>
            </w:r>
            <w:r>
              <w:rPr>
                <w:sz w:val="17"/>
              </w:rPr>
              <w:t>10,5×</w:t>
            </w:r>
          </w:p>
        </w:tc>
      </w:tr>
      <w:tr>
        <w:tc>
          <w:tcPr>
            <w:tcW w:type="dxa" w:w="1440"/>
          </w:tcPr>
          <w:p>
            <w:r>
              <w:rPr>
                <w:sz w:val="17"/>
              </w:rPr>
            </w:r>
            <w:r>
              <w:rPr>
                <w:b/>
                <w:sz w:val="17"/>
              </w:rPr>
              <w:t>Медиана 2026</w:t>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r>
              <w:rPr>
                <w:b/>
                <w:sz w:val="17"/>
              </w:rPr>
              <w:t>14,2×</w:t>
            </w:r>
          </w:p>
        </w:tc>
      </w:tr>
    </w:tbl>
    <w:p/>
    <w:p>
      <w:pPr>
        <w:jc w:val="both"/>
      </w:pPr>
      <w:r>
        <w:t>Источники: пресс-релизы компаний, Securitize.io, Tokeny.com, HQLAx.com, Atomyze.ru, Crunchbase, PitchBook (агрегированные данные). Дата выборки — 24.05.2026.</w:t>
      </w:r>
    </w:p>
    <w:p>
      <w:pPr>
        <w:pStyle w:val="Heading2"/>
      </w:pPr>
      <w:r>
        <w:t>7. Анализ наилучшего и наиболее эффективного использования (HABU / NEI)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Тест</w:t>
            </w:r>
          </w:p>
        </w:tc>
        <w:tc>
          <w:tcPr>
            <w:tcW w:type="dxa" w:w="2880"/>
          </w:tcPr>
          <w:p>
            <w:r>
              <w:rPr>
                <w:b/>
                <w:sz w:val="17"/>
              </w:rPr>
            </w:r>
            <w:r>
              <w:rPr>
                <w:b/>
                <w:sz w:val="17"/>
              </w:rPr>
              <w:t>Условие</w:t>
            </w:r>
          </w:p>
        </w:tc>
        <w:tc>
          <w:tcPr>
            <w:tcW w:type="dxa" w:w="2880"/>
          </w:tcPr>
          <w:p>
            <w:r>
              <w:rPr>
                <w:b/>
                <w:sz w:val="17"/>
              </w:rPr>
            </w:r>
            <w:r>
              <w:rPr>
                <w:b/>
                <w:sz w:val="17"/>
              </w:rPr>
              <w:t>Заключение</w:t>
            </w:r>
          </w:p>
        </w:tc>
      </w:tr>
      <w:tr>
        <w:tc>
          <w:tcPr>
            <w:tcW w:type="dxa" w:w="2880"/>
          </w:tcPr>
          <w:p>
            <w:r>
              <w:rPr>
                <w:sz w:val="17"/>
              </w:rPr>
            </w:r>
            <w:r>
              <w:rPr>
                <w:sz w:val="17"/>
              </w:rPr>
              <w:t>Юридическая допустимость</w:t>
            </w:r>
          </w:p>
        </w:tc>
        <w:tc>
          <w:tcPr>
            <w:tcW w:type="dxa" w:w="2880"/>
          </w:tcPr>
          <w:p>
            <w:r>
              <w:rPr>
                <w:sz w:val="17"/>
              </w:rPr>
            </w:r>
            <w:r>
              <w:rPr>
                <w:sz w:val="17"/>
              </w:rPr>
              <w:t>Wedge pilot-light соответствует действующему 259-ФЗ и 779-П</w:t>
            </w:r>
          </w:p>
        </w:tc>
        <w:tc>
          <w:tcPr>
            <w:tcW w:type="dxa" w:w="2880"/>
          </w:tcPr>
          <w:p>
            <w:r>
              <w:rPr>
                <w:sz w:val="17"/>
              </w:rPr>
            </w:r>
            <w:r>
              <w:rPr>
                <w:sz w:val="17"/>
              </w:rPr>
              <w:t>Соблюдено (с регуляторной зависимостью для Stage 2)</w:t>
            </w:r>
          </w:p>
        </w:tc>
      </w:tr>
      <w:tr>
        <w:tc>
          <w:tcPr>
            <w:tcW w:type="dxa" w:w="2880"/>
          </w:tcPr>
          <w:p>
            <w:r>
              <w:rPr>
                <w:sz w:val="17"/>
              </w:rPr>
            </w:r>
            <w:r>
              <w:rPr>
                <w:sz w:val="17"/>
              </w:rPr>
              <w:t>Физическая возможность</w:t>
            </w:r>
          </w:p>
        </w:tc>
        <w:tc>
          <w:tcPr>
            <w:tcW w:type="dxa" w:w="2880"/>
          </w:tcPr>
          <w:p>
            <w:r>
              <w:rPr>
                <w:sz w:val="17"/>
              </w:rPr>
            </w:r>
            <w:r>
              <w:rPr>
                <w:sz w:val="17"/>
              </w:rPr>
              <w:t>Готовая клиентская часть; серверная часть в разработке</w:t>
            </w:r>
          </w:p>
        </w:tc>
        <w:tc>
          <w:tcPr>
            <w:tcW w:type="dxa" w:w="2880"/>
          </w:tcPr>
          <w:p>
            <w:r>
              <w:rPr>
                <w:sz w:val="17"/>
              </w:rPr>
            </w:r>
            <w:r>
              <w:rPr>
                <w:sz w:val="17"/>
              </w:rPr>
              <w:t>Соблюдено (с CapEx-волнами 2029/2030/2033)</w:t>
            </w:r>
          </w:p>
        </w:tc>
      </w:tr>
      <w:tr>
        <w:tc>
          <w:tcPr>
            <w:tcW w:type="dxa" w:w="2880"/>
          </w:tcPr>
          <w:p>
            <w:r>
              <w:rPr>
                <w:sz w:val="17"/>
              </w:rPr>
            </w:r>
            <w:r>
              <w:rPr>
                <w:sz w:val="17"/>
              </w:rPr>
              <w:t>Финансовая целесообразность</w:t>
            </w:r>
          </w:p>
        </w:tc>
        <w:tc>
          <w:tcPr>
            <w:tcW w:type="dxa" w:w="2880"/>
          </w:tcPr>
          <w:p>
            <w:r>
              <w:rPr>
                <w:sz w:val="17"/>
              </w:rPr>
            </w:r>
            <w:r>
              <w:rPr>
                <w:sz w:val="17"/>
              </w:rPr>
              <w:t>NPV Base ≥ 0; IRR &gt; WACC</w:t>
            </w:r>
          </w:p>
        </w:tc>
        <w:tc>
          <w:tcPr>
            <w:tcW w:type="dxa" w:w="2880"/>
          </w:tcPr>
          <w:p>
            <w:r>
              <w:rPr>
                <w:sz w:val="17"/>
              </w:rPr>
            </w:r>
            <w:r>
              <w:rPr>
                <w:sz w:val="17"/>
              </w:rPr>
              <w:t>Соблюдено</w:t>
            </w:r>
          </w:p>
        </w:tc>
      </w:tr>
      <w:tr>
        <w:tc>
          <w:tcPr>
            <w:tcW w:type="dxa" w:w="2880"/>
          </w:tcPr>
          <w:p>
            <w:r>
              <w:rPr>
                <w:sz w:val="17"/>
              </w:rPr>
            </w:r>
            <w:r>
              <w:rPr>
                <w:sz w:val="17"/>
              </w:rPr>
              <w:t>Максимальная продуктивность</w:t>
            </w:r>
          </w:p>
        </w:tc>
        <w:tc>
          <w:tcPr>
            <w:tcW w:type="dxa" w:w="2880"/>
          </w:tcPr>
          <w:p>
            <w:r>
              <w:rPr>
                <w:sz w:val="17"/>
              </w:rPr>
            </w:r>
            <w:r>
              <w:rPr>
                <w:sz w:val="17"/>
              </w:rPr>
              <w:t>Двухстадийная архитектура</w:t>
            </w:r>
          </w:p>
        </w:tc>
        <w:tc>
          <w:tcPr>
            <w:tcW w:type="dxa" w:w="2880"/>
          </w:tcPr>
          <w:p>
            <w:r>
              <w:rPr>
                <w:sz w:val="17"/>
              </w:rPr>
            </w:r>
            <w:r>
              <w:rPr>
                <w:sz w:val="17"/>
              </w:rPr>
              <w:t>Соблюдено</w:t>
            </w:r>
          </w:p>
        </w:tc>
      </w:tr>
    </w:tbl>
    <w:p/>
    <w:p>
      <w:pPr>
        <w:jc w:val="both"/>
      </w:pPr>
      <w:r>
        <w:rPr>
          <w:b/>
        </w:rPr>
        <w:t>Заключение HABU:</w:t>
      </w:r>
      <w:r>
        <w:t xml:space="preserve"> продолжение реализации в режиме Going Concern по двухстадийной архитектуре с привлечением институционального инвестора Series A в размере $15 млн (≈ 1,8 млрд ₽).</w:t>
      </w:r>
    </w:p>
    <w:p>
      <w:pPr>
        <w:pStyle w:val="Heading2"/>
      </w:pPr>
      <w:r>
        <w:t>8. Применённые подходы и методы</w:t>
      </w:r>
    </w:p>
    <w:p>
      <w:pPr>
        <w:jc w:val="both"/>
      </w:pPr>
      <w:r>
        <w:t>В соответствии с IVS 105 применены три подхода с триангуляцией в четыре независимых метода: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Подход</w:t>
            </w:r>
          </w:p>
        </w:tc>
        <w:tc>
          <w:tcPr>
            <w:tcW w:type="dxa" w:w="2880"/>
          </w:tcPr>
          <w:p>
            <w:r>
              <w:rPr>
                <w:b/>
                <w:sz w:val="17"/>
              </w:rPr>
            </w:r>
            <w:r>
              <w:rPr>
                <w:b/>
                <w:sz w:val="17"/>
              </w:rPr>
              <w:t>Метод</w:t>
            </w:r>
          </w:p>
        </w:tc>
        <w:tc>
          <w:tcPr>
            <w:tcW w:type="dxa" w:w="2880"/>
          </w:tcPr>
          <w:p>
            <w:r>
              <w:rPr>
                <w:b/>
                <w:sz w:val="17"/>
              </w:rPr>
            </w:r>
            <w:r>
              <w:rPr>
                <w:b/>
                <w:sz w:val="17"/>
              </w:rPr>
              <w:t>Применение</w:t>
            </w:r>
          </w:p>
        </w:tc>
      </w:tr>
      <w:tr>
        <w:tc>
          <w:tcPr>
            <w:tcW w:type="dxa" w:w="2880"/>
          </w:tcPr>
          <w:p>
            <w:r>
              <w:rPr>
                <w:sz w:val="17"/>
              </w:rPr>
            </w:r>
            <w:r>
              <w:rPr>
                <w:sz w:val="17"/>
              </w:rPr>
              <w:t>Доходный (IVS 105 §40)</w:t>
            </w:r>
          </w:p>
        </w:tc>
        <w:tc>
          <w:tcPr>
            <w:tcW w:type="dxa" w:w="2880"/>
          </w:tcPr>
          <w:p>
            <w:r>
              <w:rPr>
                <w:sz w:val="17"/>
              </w:rPr>
            </w:r>
            <w:r>
              <w:rPr>
                <w:sz w:val="17"/>
              </w:rPr>
              <w:t>DCF + multi-stage TV</w:t>
            </w:r>
          </w:p>
        </w:tc>
        <w:tc>
          <w:tcPr>
            <w:tcW w:type="dxa" w:w="2880"/>
          </w:tcPr>
          <w:p>
            <w:r>
              <w:rPr>
                <w:sz w:val="17"/>
              </w:rPr>
            </w:r>
            <w:r>
              <w:rPr>
                <w:sz w:val="17"/>
              </w:rPr>
              <w:t>WACC 29,58% RUB; горизонт 2025–2034 + фазы 2035–2044+</w:t>
            </w:r>
          </w:p>
        </w:tc>
      </w:tr>
      <w:tr>
        <w:tc>
          <w:tcPr>
            <w:tcW w:type="dxa" w:w="2880"/>
          </w:tcPr>
          <w:p>
            <w:r>
              <w:rPr>
                <w:sz w:val="17"/>
              </w:rPr>
            </w:r>
            <w:r>
              <w:rPr>
                <w:sz w:val="17"/>
              </w:rPr>
              <w:t>Рыночный (IVS 105 §20)</w:t>
            </w:r>
          </w:p>
        </w:tc>
        <w:tc>
          <w:tcPr>
            <w:tcW w:type="dxa" w:w="2880"/>
          </w:tcPr>
          <w:p>
            <w:r>
              <w:rPr>
                <w:sz w:val="17"/>
              </w:rPr>
            </w:r>
            <w:r>
              <w:rPr>
                <w:sz w:val="17"/>
              </w:rPr>
              <w:t>EV/Revenue 5Y</w:t>
            </w:r>
          </w:p>
        </w:tc>
        <w:tc>
          <w:tcPr>
            <w:tcW w:type="dxa" w:w="2880"/>
          </w:tcPr>
          <w:p>
            <w:r>
              <w:rPr>
                <w:sz w:val="17"/>
              </w:rPr>
            </w:r>
            <w:r>
              <w:rPr>
                <w:sz w:val="17"/>
              </w:rPr>
              <w:t>Медиана 14,2× по 5 comps</w:t>
            </w:r>
          </w:p>
        </w:tc>
      </w:tr>
      <w:tr>
        <w:tc>
          <w:tcPr>
            <w:tcW w:type="dxa" w:w="2880"/>
          </w:tcPr>
          <w:p>
            <w:r>
              <w:rPr>
                <w:sz w:val="17"/>
              </w:rPr>
            </w:r>
            <w:r>
              <w:rPr>
                <w:sz w:val="17"/>
              </w:rPr>
              <w:t>Рыночный (стартапы)</w:t>
            </w:r>
          </w:p>
        </w:tc>
        <w:tc>
          <w:tcPr>
            <w:tcW w:type="dxa" w:w="2880"/>
          </w:tcPr>
          <w:p>
            <w:r>
              <w:rPr>
                <w:sz w:val="17"/>
              </w:rPr>
            </w:r>
            <w:r>
              <w:rPr>
                <w:sz w:val="17"/>
              </w:rPr>
              <w:t>Risk-Adjusted Berkus ×17</w:t>
            </w:r>
          </w:p>
        </w:tc>
        <w:tc>
          <w:tcPr>
            <w:tcW w:type="dxa" w:w="2880"/>
          </w:tcPr>
          <w:p>
            <w:r>
              <w:rPr>
                <w:sz w:val="17"/>
              </w:rPr>
            </w:r>
            <w:r>
              <w:rPr>
                <w:sz w:val="17"/>
              </w:rPr>
              <w:t>Адаптировано для российского масштаба</w:t>
            </w:r>
          </w:p>
        </w:tc>
      </w:tr>
      <w:tr>
        <w:tc>
          <w:tcPr>
            <w:tcW w:type="dxa" w:w="2880"/>
          </w:tcPr>
          <w:p>
            <w:r>
              <w:rPr>
                <w:sz w:val="17"/>
              </w:rPr>
            </w:r>
            <w:r>
              <w:rPr>
                <w:sz w:val="17"/>
              </w:rPr>
              <w:t>Затратный (IVS 105 §60)</w:t>
            </w:r>
          </w:p>
        </w:tc>
        <w:tc>
          <w:tcPr>
            <w:tcW w:type="dxa" w:w="2880"/>
          </w:tcPr>
          <w:p>
            <w:r>
              <w:rPr>
                <w:sz w:val="17"/>
              </w:rPr>
            </w:r>
            <w:r>
              <w:rPr>
                <w:sz w:val="17"/>
              </w:rPr>
              <w:t>Replacement Cost × 1,75</w:t>
            </w:r>
          </w:p>
        </w:tc>
        <w:tc>
          <w:tcPr>
            <w:tcW w:type="dxa" w:w="2880"/>
          </w:tcPr>
          <w:p>
            <w:r>
              <w:rPr>
                <w:sz w:val="17"/>
              </w:rPr>
            </w:r>
            <w:r>
              <w:rPr>
                <w:sz w:val="17"/>
              </w:rPr>
              <w:t>Премия за защищённый IP</w:t>
            </w:r>
          </w:p>
        </w:tc>
      </w:tr>
    </w:tbl>
    <w:p/>
    <w:p>
      <w:pPr>
        <w:jc w:val="both"/>
      </w:pPr>
      <w:r>
        <w:rPr>
          <w:b/>
        </w:rPr>
        <w:t>Исключённые методы:</w:t>
      </w:r>
      <w:r>
        <w:t xml:space="preserve"> CCM (нелинейность выручки), NAV (недостаточен для НМА), VC Method чистый (double-discount), Real Options (только sanity check).</w:t>
      </w:r>
    </w:p>
    <w:p>
      <w:pPr>
        <w:pStyle w:val="Heading2"/>
      </w:pPr>
      <w:r>
        <w:t>9. Расчёты</w:t>
      </w:r>
    </w:p>
    <w:p>
      <w:pPr>
        <w:pStyle w:val="Heading3"/>
      </w:pPr>
      <w:r>
        <w:t>9.1. Ставка дисконтирования (WACC, RUB, build-up)</w:t>
      </w:r>
    </w:p>
    <w:p>
      <w:pPr>
        <w:jc w:val="both"/>
      </w:pPr>
      <w:r>
        <w:t>Формула (Ф.9.1):</w:t>
      </w:r>
    </w:p>
    <w:p>
      <w:pPr>
        <w:ind w:left="360"/>
      </w:pPr>
      <w:r>
        <w:rPr>
          <w:i/>
          <w:color w:val="444444"/>
        </w:rPr>
        <w:t>WACCRUB = Rf + β · ERPRU + πstage + πliquidity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Компонента</w:t>
            </w:r>
          </w:p>
        </w:tc>
        <w:tc>
          <w:tcPr>
            <w:tcW w:type="dxa" w:w="2880"/>
          </w:tcPr>
          <w:p>
            <w:r>
              <w:rPr>
                <w:b/>
                <w:sz w:val="17"/>
              </w:rPr>
            </w:r>
            <w:r>
              <w:rPr>
                <w:b/>
                <w:sz w:val="17"/>
              </w:rPr>
              <w:t>Значение</w:t>
            </w:r>
          </w:p>
        </w:tc>
        <w:tc>
          <w:tcPr>
            <w:tcW w:type="dxa" w:w="2880"/>
          </w:tcPr>
          <w:p>
            <w:r>
              <w:rPr>
                <w:b/>
                <w:sz w:val="17"/>
              </w:rPr>
            </w:r>
            <w:r>
              <w:rPr>
                <w:b/>
                <w:sz w:val="17"/>
              </w:rPr>
              <w:t>Источник</w:t>
            </w:r>
          </w:p>
        </w:tc>
      </w:tr>
      <w:tr>
        <w:tc>
          <w:tcPr>
            <w:tcW w:type="dxa" w:w="2880"/>
          </w:tcPr>
          <w:p>
            <w:r>
              <w:rPr>
                <w:sz w:val="17"/>
              </w:rPr>
            </w:r>
            <w:r>
              <w:rPr>
                <w:sz w:val="17"/>
              </w:rPr>
              <w:t>Risk-free rate (10Y ОФЗ, RUB)</w:t>
            </w:r>
          </w:p>
        </w:tc>
        <w:tc>
          <w:tcPr>
            <w:tcW w:type="dxa" w:w="2880"/>
          </w:tcPr>
          <w:p>
            <w:r>
              <w:rPr>
                <w:sz w:val="17"/>
              </w:rPr>
            </w:r>
            <w:r>
              <w:rPr>
                <w:sz w:val="17"/>
              </w:rPr>
              <w:t>14,73%</w:t>
            </w:r>
          </w:p>
        </w:tc>
        <w:tc>
          <w:tcPr>
            <w:tcW w:type="dxa" w:w="2880"/>
          </w:tcPr>
          <w:p>
            <w:r>
              <w:rPr>
                <w:sz w:val="17"/>
              </w:rPr>
            </w:r>
            <w:r>
              <w:rPr>
                <w:sz w:val="17"/>
              </w:rPr>
              <w:t>tradingeconomics.com, 21.05.2026</w:t>
            </w:r>
          </w:p>
        </w:tc>
      </w:tr>
      <w:tr>
        <w:tc>
          <w:tcPr>
            <w:tcW w:type="dxa" w:w="2880"/>
          </w:tcPr>
          <w:p>
            <w:r>
              <w:rPr>
                <w:sz w:val="17"/>
              </w:rPr>
            </w:r>
            <w:r>
              <w:rPr>
                <w:sz w:val="17"/>
              </w:rPr>
              <w:t>β (Financial Services, unlevered)</w:t>
            </w:r>
          </w:p>
        </w:tc>
        <w:tc>
          <w:tcPr>
            <w:tcW w:type="dxa" w:w="2880"/>
          </w:tcPr>
          <w:p>
            <w:r>
              <w:rPr>
                <w:sz w:val="17"/>
              </w:rPr>
            </w:r>
            <w:r>
              <w:rPr>
                <w:sz w:val="17"/>
              </w:rPr>
              <w:t>1,15</w:t>
            </w:r>
          </w:p>
        </w:tc>
        <w:tc>
          <w:tcPr>
            <w:tcW w:type="dxa" w:w="2880"/>
          </w:tcPr>
          <w:p>
            <w:r>
              <w:rPr>
                <w:sz w:val="17"/>
              </w:rPr>
            </w:r>
            <w:r>
              <w:rPr>
                <w:sz w:val="17"/>
              </w:rPr>
              <w:t>Damodaran, январь 2026</w:t>
            </w:r>
          </w:p>
        </w:tc>
      </w:tr>
      <w:tr>
        <w:tc>
          <w:tcPr>
            <w:tcW w:type="dxa" w:w="2880"/>
          </w:tcPr>
          <w:p>
            <w:r>
              <w:rPr>
                <w:sz w:val="17"/>
              </w:rPr>
            </w:r>
            <w:r>
              <w:rPr>
                <w:sz w:val="17"/>
              </w:rPr>
              <w:t>ERP Russia (Total)</w:t>
            </w:r>
          </w:p>
        </w:tc>
        <w:tc>
          <w:tcPr>
            <w:tcW w:type="dxa" w:w="2880"/>
          </w:tcPr>
          <w:p>
            <w:r>
              <w:rPr>
                <w:sz w:val="17"/>
              </w:rPr>
            </w:r>
            <w:r>
              <w:rPr>
                <w:sz w:val="17"/>
              </w:rPr>
              <w:t>8,13%</w:t>
            </w:r>
          </w:p>
        </w:tc>
        <w:tc>
          <w:tcPr>
            <w:tcW w:type="dxa" w:w="2880"/>
          </w:tcPr>
          <w:p>
            <w:r>
              <w:rPr>
                <w:sz w:val="17"/>
              </w:rPr>
            </w:r>
            <w:r>
              <w:rPr>
                <w:sz w:val="17"/>
              </w:rPr>
              <w:t>Damodaran ctryprem, 05.01.2026</w:t>
            </w:r>
          </w:p>
        </w:tc>
      </w:tr>
      <w:tr>
        <w:tc>
          <w:tcPr>
            <w:tcW w:type="dxa" w:w="2880"/>
          </w:tcPr>
          <w:p>
            <w:r>
              <w:rPr>
                <w:sz w:val="17"/>
              </w:rPr>
            </w:r>
            <w:r>
              <w:rPr>
                <w:sz w:val="17"/>
              </w:rPr>
              <w:t>β · ERP</w:t>
            </w:r>
          </w:p>
        </w:tc>
        <w:tc>
          <w:tcPr>
            <w:tcW w:type="dxa" w:w="2880"/>
          </w:tcPr>
          <w:p>
            <w:r>
              <w:rPr>
                <w:sz w:val="17"/>
              </w:rPr>
            </w:r>
            <w:r>
              <w:rPr>
                <w:sz w:val="17"/>
              </w:rPr>
              <w:t>9,35%</w:t>
            </w:r>
          </w:p>
        </w:tc>
        <w:tc>
          <w:tcPr>
            <w:tcW w:type="dxa" w:w="2880"/>
          </w:tcPr>
          <w:p>
            <w:r>
              <w:rPr>
                <w:sz w:val="17"/>
              </w:rPr>
            </w:r>
            <w:r>
              <w:rPr>
                <w:sz w:val="17"/>
              </w:rPr>
              <w:t>1,15 × 8,13%</w:t>
            </w:r>
          </w:p>
        </w:tc>
      </w:tr>
      <w:tr>
        <w:tc>
          <w:tcPr>
            <w:tcW w:type="dxa" w:w="2880"/>
          </w:tcPr>
          <w:p>
            <w:r>
              <w:rPr>
                <w:sz w:val="17"/>
              </w:rPr>
            </w:r>
            <w:r>
              <w:rPr>
                <w:sz w:val="17"/>
              </w:rPr>
              <w:t>Stage premium (Pre-MVP-Pro)</w:t>
            </w:r>
          </w:p>
        </w:tc>
        <w:tc>
          <w:tcPr>
            <w:tcW w:type="dxa" w:w="2880"/>
          </w:tcPr>
          <w:p>
            <w:r>
              <w:rPr>
                <w:sz w:val="17"/>
              </w:rPr>
            </w:r>
            <w:r>
              <w:rPr>
                <w:sz w:val="17"/>
              </w:rPr>
              <w:t>2,50%</w:t>
            </w:r>
          </w:p>
        </w:tc>
        <w:tc>
          <w:tcPr>
            <w:tcW w:type="dxa" w:w="2880"/>
          </w:tcPr>
          <w:p>
            <w:r>
              <w:rPr>
                <w:sz w:val="17"/>
              </w:rPr>
            </w:r>
            <w:r>
              <w:rPr>
                <w:sz w:val="17"/>
              </w:rPr>
              <w:t>IPEV Guidelines</w:t>
            </w:r>
          </w:p>
        </w:tc>
      </w:tr>
      <w:tr>
        <w:tc>
          <w:tcPr>
            <w:tcW w:type="dxa" w:w="2880"/>
          </w:tcPr>
          <w:p>
            <w:r>
              <w:rPr>
                <w:sz w:val="17"/>
              </w:rPr>
            </w:r>
            <w:r>
              <w:rPr>
                <w:sz w:val="17"/>
              </w:rPr>
              <w:t>Liquidity / size premium</w:t>
            </w:r>
          </w:p>
        </w:tc>
        <w:tc>
          <w:tcPr>
            <w:tcW w:type="dxa" w:w="2880"/>
          </w:tcPr>
          <w:p>
            <w:r>
              <w:rPr>
                <w:sz w:val="17"/>
              </w:rPr>
            </w:r>
            <w:r>
              <w:rPr>
                <w:sz w:val="17"/>
              </w:rPr>
              <w:t>3,00%</w:t>
            </w:r>
          </w:p>
        </w:tc>
        <w:tc>
          <w:tcPr>
            <w:tcW w:type="dxa" w:w="2880"/>
          </w:tcPr>
          <w:p>
            <w:r>
              <w:rPr>
                <w:sz w:val="17"/>
              </w:rPr>
            </w:r>
            <w:r>
              <w:rPr>
                <w:sz w:val="17"/>
              </w:rPr>
              <w:t>IPEV Guidelines; Damodaran small-cap</w:t>
            </w:r>
          </w:p>
        </w:tc>
      </w:tr>
      <w:tr>
        <w:tc>
          <w:tcPr>
            <w:tcW w:type="dxa" w:w="2880"/>
          </w:tcPr>
          <w:p>
            <w:r>
              <w:rPr>
                <w:sz w:val="17"/>
              </w:rPr>
            </w:r>
            <w:r>
              <w:rPr>
                <w:b/>
                <w:sz w:val="17"/>
              </w:rPr>
              <w:t>WACCRUB расчётный</w:t>
            </w:r>
          </w:p>
        </w:tc>
        <w:tc>
          <w:tcPr>
            <w:tcW w:type="dxa" w:w="2880"/>
          </w:tcPr>
          <w:p>
            <w:r>
              <w:rPr>
                <w:sz w:val="17"/>
              </w:rPr>
            </w:r>
            <w:r>
              <w:rPr>
                <w:b/>
                <w:sz w:val="17"/>
              </w:rPr>
              <w:t>29,58%</w:t>
            </w:r>
          </w:p>
        </w:tc>
        <w:tc>
          <w:tcPr>
            <w:tcW w:type="dxa" w:w="2880"/>
          </w:tcPr>
          <w:p>
            <w:r>
              <w:rPr>
                <w:sz w:val="17"/>
              </w:rPr>
            </w:r>
            <w:r>
              <w:rPr>
                <w:sz w:val="17"/>
              </w:rPr>
              <w:t>Сумма</w:t>
            </w:r>
          </w:p>
        </w:tc>
      </w:tr>
      <w:tr>
        <w:tc>
          <w:tcPr>
            <w:tcW w:type="dxa" w:w="2880"/>
          </w:tcPr>
          <w:p>
            <w:r>
              <w:rPr>
                <w:sz w:val="17"/>
              </w:rPr>
            </w:r>
            <w:r>
              <w:rPr>
                <w:b/>
                <w:sz w:val="17"/>
              </w:rPr>
              <w:t>WACCRUB Base</w:t>
            </w:r>
          </w:p>
        </w:tc>
        <w:tc>
          <w:tcPr>
            <w:tcW w:type="dxa" w:w="2880"/>
          </w:tcPr>
          <w:p>
            <w:r>
              <w:rPr>
                <w:sz w:val="17"/>
              </w:rPr>
            </w:r>
            <w:r>
              <w:rPr>
                <w:b/>
                <w:sz w:val="17"/>
              </w:rPr>
              <w:t>29,5%</w:t>
            </w:r>
          </w:p>
        </w:tc>
        <w:tc>
          <w:tcPr>
            <w:tcW w:type="dxa" w:w="2880"/>
          </w:tcPr>
          <w:p>
            <w:r>
              <w:rPr>
                <w:sz w:val="17"/>
              </w:rPr>
            </w:r>
            <w:r>
              <w:rPr>
                <w:sz w:val="17"/>
              </w:rPr>
              <w:t>Округление к 0,5 п.п.</w:t>
            </w:r>
          </w:p>
        </w:tc>
      </w:tr>
    </w:tbl>
    <w:p/>
    <w:p>
      <w:pPr>
        <w:jc w:val="both"/>
      </w:pPr>
      <w:r>
        <w:t>Sanity checks: CAPM (RUB) = 24,08%; КС ЦБ + спред = 29,50%; global USD-WACC + дифференциал инфляции ≈ 26–28%. Защитимый интервал WACC: 28,0–31,0%.</w:t>
      </w:r>
    </w:p>
    <w:p>
      <w:pPr>
        <w:pStyle w:val="Heading3"/>
      </w:pPr>
      <w:r>
        <w:t>9.2. Прогноз свободного денежного потока (базовый сценарий, млрд ₽)</w:t>
      </w:r>
    </w:p>
    <w:p>
      <w:pPr>
        <w:jc w:val="both"/>
      </w:pPr>
      <w:r>
        <w:t>Ряд выводится из отчёта о прибылях и убытках: поток = EBITDA − налог на прибыль − прирост оборотного капитала − капитальные вложения. Сходимость проверяется программно.</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Год</w:t>
            </w:r>
          </w:p>
        </w:tc>
        <w:tc>
          <w:tcPr>
            <w:tcW w:type="dxa" w:w="1234"/>
          </w:tcPr>
          <w:p>
            <w:r>
              <w:rPr>
                <w:b/>
                <w:sz w:val="17"/>
              </w:rPr>
            </w:r>
            <w:r>
              <w:rPr>
                <w:b/>
                <w:sz w:val="17"/>
              </w:rPr>
              <w:t>Выручка</w:t>
            </w:r>
          </w:p>
        </w:tc>
        <w:tc>
          <w:tcPr>
            <w:tcW w:type="dxa" w:w="1234"/>
          </w:tcPr>
          <w:p>
            <w:r>
              <w:rPr>
                <w:b/>
                <w:sz w:val="17"/>
              </w:rPr>
            </w:r>
            <w:r>
              <w:rPr>
                <w:b/>
                <w:sz w:val="17"/>
              </w:rPr>
              <w:t>Расходы</w:t>
            </w:r>
          </w:p>
        </w:tc>
        <w:tc>
          <w:tcPr>
            <w:tcW w:type="dxa" w:w="1234"/>
          </w:tcPr>
          <w:p>
            <w:r>
              <w:rPr>
                <w:b/>
                <w:sz w:val="17"/>
              </w:rPr>
            </w:r>
            <w:r>
              <w:rPr>
                <w:b/>
                <w:sz w:val="17"/>
              </w:rPr>
              <w:t>EBITDA</w:t>
            </w:r>
          </w:p>
        </w:tc>
        <w:tc>
          <w:tcPr>
            <w:tcW w:type="dxa" w:w="1234"/>
          </w:tcPr>
          <w:p>
            <w:r>
              <w:rPr>
                <w:b/>
                <w:sz w:val="17"/>
              </w:rPr>
            </w:r>
            <w:r>
              <w:rPr>
                <w:b/>
                <w:sz w:val="17"/>
              </w:rPr>
              <w:t>Маржа</w:t>
            </w:r>
          </w:p>
        </w:tc>
        <w:tc>
          <w:tcPr>
            <w:tcW w:type="dxa" w:w="1234"/>
          </w:tcPr>
          <w:p>
            <w:r>
              <w:rPr>
                <w:b/>
                <w:sz w:val="17"/>
              </w:rPr>
            </w:r>
            <w:r>
              <w:rPr>
                <w:b/>
                <w:sz w:val="17"/>
              </w:rPr>
              <w:t>CapEx</w:t>
            </w:r>
          </w:p>
        </w:tc>
        <w:tc>
          <w:tcPr>
            <w:tcW w:type="dxa" w:w="1234"/>
          </w:tcPr>
          <w:p>
            <w:r>
              <w:rPr>
                <w:b/>
                <w:sz w:val="17"/>
              </w:rPr>
            </w:r>
            <w:r>
              <w:rPr>
                <w:b/>
                <w:sz w:val="17"/>
              </w:rPr>
              <w:t>Поток</w:t>
            </w:r>
          </w:p>
        </w:tc>
      </w:tr>
      <w:tr>
        <w:tc>
          <w:tcPr>
            <w:tcW w:type="dxa" w:w="1234"/>
          </w:tcPr>
          <w:p>
            <w:r>
              <w:rPr>
                <w:sz w:val="17"/>
              </w:rPr>
            </w:r>
            <w:r>
              <w:rPr>
                <w:sz w:val="17"/>
              </w:rPr>
              <w:t>2027</w:t>
            </w:r>
          </w:p>
        </w:tc>
        <w:tc>
          <w:tcPr>
            <w:tcW w:type="dxa" w:w="1234"/>
          </w:tcPr>
          <w:p>
            <w:r>
              <w:rPr>
                <w:sz w:val="17"/>
              </w:rPr>
            </w:r>
            <w:r>
              <w:rPr>
                <w:sz w:val="17"/>
              </w:rPr>
              <w:t>0,00</w:t>
            </w:r>
          </w:p>
        </w:tc>
        <w:tc>
          <w:tcPr>
            <w:tcW w:type="dxa" w:w="1234"/>
          </w:tcPr>
          <w:p>
            <w:r>
              <w:rPr>
                <w:sz w:val="17"/>
              </w:rPr>
            </w:r>
            <w:r>
              <w:rPr>
                <w:sz w:val="17"/>
              </w:rPr>
              <w:t>0,72</w:t>
            </w:r>
          </w:p>
        </w:tc>
        <w:tc>
          <w:tcPr>
            <w:tcW w:type="dxa" w:w="1234"/>
          </w:tcPr>
          <w:p>
            <w:r>
              <w:rPr>
                <w:sz w:val="17"/>
              </w:rPr>
            </w:r>
            <w:r>
              <w:rPr>
                <w:sz w:val="17"/>
              </w:rPr>
              <w:t>−0,72</w:t>
            </w:r>
          </w:p>
        </w:tc>
        <w:tc>
          <w:tcPr>
            <w:tcW w:type="dxa" w:w="1234"/>
          </w:tcPr>
          <w:p>
            <w:r>
              <w:rPr>
                <w:sz w:val="17"/>
              </w:rPr>
            </w:r>
            <w:r>
              <w:rPr>
                <w:sz w:val="17"/>
              </w:rPr>
              <w:t>—</w:t>
            </w:r>
          </w:p>
        </w:tc>
        <w:tc>
          <w:tcPr>
            <w:tcW w:type="dxa" w:w="1234"/>
          </w:tcPr>
          <w:p>
            <w:r>
              <w:rPr>
                <w:sz w:val="17"/>
              </w:rPr>
            </w:r>
            <w:r>
              <w:rPr>
                <w:sz w:val="17"/>
              </w:rPr>
              <w:t>0,30</w:t>
            </w:r>
          </w:p>
        </w:tc>
        <w:tc>
          <w:tcPr>
            <w:tcW w:type="dxa" w:w="1234"/>
          </w:tcPr>
          <w:p>
            <w:r>
              <w:rPr>
                <w:sz w:val="17"/>
              </w:rPr>
            </w:r>
            <w:r>
              <w:rPr>
                <w:sz w:val="17"/>
              </w:rPr>
              <w:t>−1,02</w:t>
            </w:r>
          </w:p>
        </w:tc>
      </w:tr>
      <w:tr>
        <w:tc>
          <w:tcPr>
            <w:tcW w:type="dxa" w:w="1234"/>
          </w:tcPr>
          <w:p>
            <w:r>
              <w:rPr>
                <w:sz w:val="17"/>
              </w:rPr>
            </w:r>
            <w:r>
              <w:rPr>
                <w:sz w:val="17"/>
              </w:rPr>
              <w:t>2028</w:t>
            </w:r>
          </w:p>
        </w:tc>
        <w:tc>
          <w:tcPr>
            <w:tcW w:type="dxa" w:w="1234"/>
          </w:tcPr>
          <w:p>
            <w:r>
              <w:rPr>
                <w:sz w:val="17"/>
              </w:rPr>
            </w:r>
            <w:r>
              <w:rPr>
                <w:sz w:val="17"/>
              </w:rPr>
              <w:t>1,31</w:t>
            </w:r>
          </w:p>
        </w:tc>
        <w:tc>
          <w:tcPr>
            <w:tcW w:type="dxa" w:w="1234"/>
          </w:tcPr>
          <w:p>
            <w:r>
              <w:rPr>
                <w:sz w:val="17"/>
              </w:rPr>
            </w:r>
            <w:r>
              <w:rPr>
                <w:sz w:val="17"/>
              </w:rPr>
              <w:t>1,50</w:t>
            </w:r>
          </w:p>
        </w:tc>
        <w:tc>
          <w:tcPr>
            <w:tcW w:type="dxa" w:w="1234"/>
          </w:tcPr>
          <w:p>
            <w:r>
              <w:rPr>
                <w:sz w:val="17"/>
              </w:rPr>
            </w:r>
            <w:r>
              <w:rPr>
                <w:sz w:val="17"/>
              </w:rPr>
              <w:t>−0,19</w:t>
            </w:r>
          </w:p>
        </w:tc>
        <w:tc>
          <w:tcPr>
            <w:tcW w:type="dxa" w:w="1234"/>
          </w:tcPr>
          <w:p>
            <w:r>
              <w:rPr>
                <w:sz w:val="17"/>
              </w:rPr>
            </w:r>
            <w:r>
              <w:rPr>
                <w:sz w:val="17"/>
              </w:rPr>
              <w:t>—</w:t>
            </w:r>
          </w:p>
        </w:tc>
        <w:tc>
          <w:tcPr>
            <w:tcW w:type="dxa" w:w="1234"/>
          </w:tcPr>
          <w:p>
            <w:r>
              <w:rPr>
                <w:sz w:val="17"/>
              </w:rPr>
            </w:r>
            <w:r>
              <w:rPr>
                <w:sz w:val="17"/>
              </w:rPr>
              <w:t>0,42</w:t>
            </w:r>
          </w:p>
        </w:tc>
        <w:tc>
          <w:tcPr>
            <w:tcW w:type="dxa" w:w="1234"/>
          </w:tcPr>
          <w:p>
            <w:r>
              <w:rPr>
                <w:sz w:val="17"/>
              </w:rPr>
            </w:r>
            <w:r>
              <w:rPr>
                <w:sz w:val="17"/>
              </w:rPr>
              <w:t>−0,68</w:t>
            </w:r>
          </w:p>
        </w:tc>
      </w:tr>
      <w:tr>
        <w:tc>
          <w:tcPr>
            <w:tcW w:type="dxa" w:w="1234"/>
          </w:tcPr>
          <w:p>
            <w:r>
              <w:rPr>
                <w:sz w:val="17"/>
              </w:rPr>
            </w:r>
            <w:r>
              <w:rPr>
                <w:sz w:val="17"/>
              </w:rPr>
              <w:t>2029</w:t>
            </w:r>
          </w:p>
        </w:tc>
        <w:tc>
          <w:tcPr>
            <w:tcW w:type="dxa" w:w="1234"/>
          </w:tcPr>
          <w:p>
            <w:r>
              <w:rPr>
                <w:sz w:val="17"/>
              </w:rPr>
            </w:r>
            <w:r>
              <w:rPr>
                <w:sz w:val="17"/>
              </w:rPr>
              <w:t>6,52</w:t>
            </w:r>
          </w:p>
        </w:tc>
        <w:tc>
          <w:tcPr>
            <w:tcW w:type="dxa" w:w="1234"/>
          </w:tcPr>
          <w:p>
            <w:r>
              <w:rPr>
                <w:sz w:val="17"/>
              </w:rPr>
            </w:r>
            <w:r>
              <w:rPr>
                <w:sz w:val="17"/>
              </w:rPr>
              <w:t>2,96</w:t>
            </w:r>
          </w:p>
        </w:tc>
        <w:tc>
          <w:tcPr>
            <w:tcW w:type="dxa" w:w="1234"/>
          </w:tcPr>
          <w:p>
            <w:r>
              <w:rPr>
                <w:sz w:val="17"/>
              </w:rPr>
            </w:r>
            <w:r>
              <w:rPr>
                <w:sz w:val="17"/>
              </w:rPr>
              <w:t>3,56</w:t>
            </w:r>
          </w:p>
        </w:tc>
        <w:tc>
          <w:tcPr>
            <w:tcW w:type="dxa" w:w="1234"/>
          </w:tcPr>
          <w:p>
            <w:r>
              <w:rPr>
                <w:sz w:val="17"/>
              </w:rPr>
            </w:r>
            <w:r>
              <w:rPr>
                <w:sz w:val="17"/>
              </w:rPr>
              <w:t>54,6%</w:t>
            </w:r>
          </w:p>
        </w:tc>
        <w:tc>
          <w:tcPr>
            <w:tcW w:type="dxa" w:w="1234"/>
          </w:tcPr>
          <w:p>
            <w:r>
              <w:rPr>
                <w:sz w:val="17"/>
              </w:rPr>
            </w:r>
            <w:r>
              <w:rPr>
                <w:sz w:val="17"/>
              </w:rPr>
              <w:t>0,40</w:t>
            </w:r>
          </w:p>
        </w:tc>
        <w:tc>
          <w:tcPr>
            <w:tcW w:type="dxa" w:w="1234"/>
          </w:tcPr>
          <w:p>
            <w:r>
              <w:rPr>
                <w:sz w:val="17"/>
              </w:rPr>
            </w:r>
            <w:r>
              <w:rPr>
                <w:sz w:val="17"/>
              </w:rPr>
              <w:t>2,31</w:t>
            </w:r>
          </w:p>
        </w:tc>
      </w:tr>
      <w:tr>
        <w:tc>
          <w:tcPr>
            <w:tcW w:type="dxa" w:w="1234"/>
          </w:tcPr>
          <w:p>
            <w:r>
              <w:rPr>
                <w:sz w:val="17"/>
              </w:rPr>
            </w:r>
            <w:r>
              <w:rPr>
                <w:sz w:val="17"/>
              </w:rPr>
              <w:t>2030</w:t>
            </w:r>
          </w:p>
        </w:tc>
        <w:tc>
          <w:tcPr>
            <w:tcW w:type="dxa" w:w="1234"/>
          </w:tcPr>
          <w:p>
            <w:r>
              <w:rPr>
                <w:sz w:val="17"/>
              </w:rPr>
            </w:r>
            <w:r>
              <w:rPr>
                <w:sz w:val="17"/>
              </w:rPr>
              <w:t>17,79</w:t>
            </w:r>
          </w:p>
        </w:tc>
        <w:tc>
          <w:tcPr>
            <w:tcW w:type="dxa" w:w="1234"/>
          </w:tcPr>
          <w:p>
            <w:r>
              <w:rPr>
                <w:sz w:val="17"/>
              </w:rPr>
            </w:r>
            <w:r>
              <w:rPr>
                <w:sz w:val="17"/>
              </w:rPr>
              <w:t>5,78</w:t>
            </w:r>
          </w:p>
        </w:tc>
        <w:tc>
          <w:tcPr>
            <w:tcW w:type="dxa" w:w="1234"/>
          </w:tcPr>
          <w:p>
            <w:r>
              <w:rPr>
                <w:sz w:val="17"/>
              </w:rPr>
            </w:r>
            <w:r>
              <w:rPr>
                <w:sz w:val="17"/>
              </w:rPr>
              <w:t>12,01</w:t>
            </w:r>
          </w:p>
        </w:tc>
        <w:tc>
          <w:tcPr>
            <w:tcW w:type="dxa" w:w="1234"/>
          </w:tcPr>
          <w:p>
            <w:r>
              <w:rPr>
                <w:sz w:val="17"/>
              </w:rPr>
            </w:r>
            <w:r>
              <w:rPr>
                <w:sz w:val="17"/>
              </w:rPr>
              <w:t>67,5%</w:t>
            </w:r>
          </w:p>
        </w:tc>
        <w:tc>
          <w:tcPr>
            <w:tcW w:type="dxa" w:w="1234"/>
          </w:tcPr>
          <w:p>
            <w:r>
              <w:rPr>
                <w:sz w:val="17"/>
              </w:rPr>
            </w:r>
            <w:r>
              <w:rPr>
                <w:sz w:val="17"/>
              </w:rPr>
              <w:t>0,55</w:t>
            </w:r>
          </w:p>
        </w:tc>
        <w:tc>
          <w:tcPr>
            <w:tcW w:type="dxa" w:w="1234"/>
          </w:tcPr>
          <w:p>
            <w:r>
              <w:rPr>
                <w:sz w:val="17"/>
              </w:rPr>
            </w:r>
            <w:r>
              <w:rPr>
                <w:sz w:val="17"/>
              </w:rPr>
              <w:t>7,95</w:t>
            </w:r>
          </w:p>
        </w:tc>
      </w:tr>
      <w:tr>
        <w:tc>
          <w:tcPr>
            <w:tcW w:type="dxa" w:w="1234"/>
          </w:tcPr>
          <w:p>
            <w:r>
              <w:rPr>
                <w:sz w:val="17"/>
              </w:rPr>
            </w:r>
            <w:r>
              <w:rPr>
                <w:sz w:val="17"/>
              </w:rPr>
              <w:t>2031</w:t>
            </w:r>
          </w:p>
        </w:tc>
        <w:tc>
          <w:tcPr>
            <w:tcW w:type="dxa" w:w="1234"/>
          </w:tcPr>
          <w:p>
            <w:r>
              <w:rPr>
                <w:sz w:val="17"/>
              </w:rPr>
            </w:r>
            <w:r>
              <w:rPr>
                <w:sz w:val="17"/>
              </w:rPr>
              <w:t>39,02</w:t>
            </w:r>
          </w:p>
        </w:tc>
        <w:tc>
          <w:tcPr>
            <w:tcW w:type="dxa" w:w="1234"/>
          </w:tcPr>
          <w:p>
            <w:r>
              <w:rPr>
                <w:sz w:val="17"/>
              </w:rPr>
            </w:r>
            <w:r>
              <w:rPr>
                <w:sz w:val="17"/>
              </w:rPr>
              <w:t>10,83</w:t>
            </w:r>
          </w:p>
        </w:tc>
        <w:tc>
          <w:tcPr>
            <w:tcW w:type="dxa" w:w="1234"/>
          </w:tcPr>
          <w:p>
            <w:r>
              <w:rPr>
                <w:sz w:val="17"/>
              </w:rPr>
            </w:r>
            <w:r>
              <w:rPr>
                <w:sz w:val="17"/>
              </w:rPr>
              <w:t>28,19</w:t>
            </w:r>
          </w:p>
        </w:tc>
        <w:tc>
          <w:tcPr>
            <w:tcW w:type="dxa" w:w="1234"/>
          </w:tcPr>
          <w:p>
            <w:r>
              <w:rPr>
                <w:sz w:val="17"/>
              </w:rPr>
            </w:r>
            <w:r>
              <w:rPr>
                <w:sz w:val="17"/>
              </w:rPr>
              <w:t>72,3%</w:t>
            </w:r>
          </w:p>
        </w:tc>
        <w:tc>
          <w:tcPr>
            <w:tcW w:type="dxa" w:w="1234"/>
          </w:tcPr>
          <w:p>
            <w:r>
              <w:rPr>
                <w:sz w:val="17"/>
              </w:rPr>
            </w:r>
            <w:r>
              <w:rPr>
                <w:sz w:val="17"/>
              </w:rPr>
              <w:t>1,80</w:t>
            </w:r>
          </w:p>
        </w:tc>
        <w:tc>
          <w:tcPr>
            <w:tcW w:type="dxa" w:w="1234"/>
          </w:tcPr>
          <w:p>
            <w:r>
              <w:rPr>
                <w:sz w:val="17"/>
              </w:rPr>
            </w:r>
            <w:r>
              <w:rPr>
                <w:sz w:val="17"/>
              </w:rPr>
              <w:t>18,41</w:t>
            </w:r>
          </w:p>
        </w:tc>
      </w:tr>
      <w:tr>
        <w:tc>
          <w:tcPr>
            <w:tcW w:type="dxa" w:w="1234"/>
          </w:tcPr>
          <w:p>
            <w:r>
              <w:rPr>
                <w:sz w:val="17"/>
              </w:rPr>
            </w:r>
            <w:r>
              <w:rPr>
                <w:sz w:val="17"/>
              </w:rPr>
              <w:t>2032</w:t>
            </w:r>
          </w:p>
        </w:tc>
        <w:tc>
          <w:tcPr>
            <w:tcW w:type="dxa" w:w="1234"/>
          </w:tcPr>
          <w:p>
            <w:r>
              <w:rPr>
                <w:sz w:val="17"/>
              </w:rPr>
            </w:r>
            <w:r>
              <w:rPr>
                <w:sz w:val="17"/>
              </w:rPr>
              <w:t>56,86</w:t>
            </w:r>
          </w:p>
        </w:tc>
        <w:tc>
          <w:tcPr>
            <w:tcW w:type="dxa" w:w="1234"/>
          </w:tcPr>
          <w:p>
            <w:r>
              <w:rPr>
                <w:sz w:val="17"/>
              </w:rPr>
            </w:r>
            <w:r>
              <w:rPr>
                <w:sz w:val="17"/>
              </w:rPr>
              <w:t>15,09</w:t>
            </w:r>
          </w:p>
        </w:tc>
        <w:tc>
          <w:tcPr>
            <w:tcW w:type="dxa" w:w="1234"/>
          </w:tcPr>
          <w:p>
            <w:r>
              <w:rPr>
                <w:sz w:val="17"/>
              </w:rPr>
            </w:r>
            <w:r>
              <w:rPr>
                <w:sz w:val="17"/>
              </w:rPr>
              <w:t>41,77</w:t>
            </w:r>
          </w:p>
        </w:tc>
        <w:tc>
          <w:tcPr>
            <w:tcW w:type="dxa" w:w="1234"/>
          </w:tcPr>
          <w:p>
            <w:r>
              <w:rPr>
                <w:sz w:val="17"/>
              </w:rPr>
            </w:r>
            <w:r>
              <w:rPr>
                <w:sz w:val="17"/>
              </w:rPr>
              <w:t>73,5%</w:t>
            </w:r>
          </w:p>
        </w:tc>
        <w:tc>
          <w:tcPr>
            <w:tcW w:type="dxa" w:w="1234"/>
          </w:tcPr>
          <w:p>
            <w:r>
              <w:rPr>
                <w:sz w:val="17"/>
              </w:rPr>
            </w:r>
            <w:r>
              <w:rPr>
                <w:sz w:val="17"/>
              </w:rPr>
              <w:t>2,40</w:t>
            </w:r>
          </w:p>
        </w:tc>
        <w:tc>
          <w:tcPr>
            <w:tcW w:type="dxa" w:w="1234"/>
          </w:tcPr>
          <w:p>
            <w:r>
              <w:rPr>
                <w:sz w:val="17"/>
              </w:rPr>
            </w:r>
            <w:r>
              <w:rPr>
                <w:sz w:val="17"/>
              </w:rPr>
              <w:t>28,24</w:t>
            </w:r>
          </w:p>
        </w:tc>
      </w:tr>
      <w:tr>
        <w:tc>
          <w:tcPr>
            <w:tcW w:type="dxa" w:w="1234"/>
          </w:tcPr>
          <w:p>
            <w:r>
              <w:rPr>
                <w:sz w:val="17"/>
              </w:rPr>
            </w:r>
            <w:r>
              <w:rPr>
                <w:sz w:val="17"/>
              </w:rPr>
              <w:t>2033</w:t>
            </w:r>
          </w:p>
        </w:tc>
        <w:tc>
          <w:tcPr>
            <w:tcW w:type="dxa" w:w="1234"/>
          </w:tcPr>
          <w:p>
            <w:r>
              <w:rPr>
                <w:sz w:val="17"/>
              </w:rPr>
            </w:r>
            <w:r>
              <w:rPr>
                <w:sz w:val="17"/>
              </w:rPr>
              <w:t>76,69</w:t>
            </w:r>
          </w:p>
        </w:tc>
        <w:tc>
          <w:tcPr>
            <w:tcW w:type="dxa" w:w="1234"/>
          </w:tcPr>
          <w:p>
            <w:r>
              <w:rPr>
                <w:sz w:val="17"/>
              </w:rPr>
            </w:r>
            <w:r>
              <w:rPr>
                <w:sz w:val="17"/>
              </w:rPr>
              <w:t>19,83</w:t>
            </w:r>
          </w:p>
        </w:tc>
        <w:tc>
          <w:tcPr>
            <w:tcW w:type="dxa" w:w="1234"/>
          </w:tcPr>
          <w:p>
            <w:r>
              <w:rPr>
                <w:sz w:val="17"/>
              </w:rPr>
            </w:r>
            <w:r>
              <w:rPr>
                <w:sz w:val="17"/>
              </w:rPr>
              <w:t>56,86</w:t>
            </w:r>
          </w:p>
        </w:tc>
        <w:tc>
          <w:tcPr>
            <w:tcW w:type="dxa" w:w="1234"/>
          </w:tcPr>
          <w:p>
            <w:r>
              <w:rPr>
                <w:sz w:val="17"/>
              </w:rPr>
            </w:r>
            <w:r>
              <w:rPr>
                <w:sz w:val="17"/>
              </w:rPr>
              <w:t>74,1%</w:t>
            </w:r>
          </w:p>
        </w:tc>
        <w:tc>
          <w:tcPr>
            <w:tcW w:type="dxa" w:w="1234"/>
          </w:tcPr>
          <w:p>
            <w:r>
              <w:rPr>
                <w:sz w:val="17"/>
              </w:rPr>
            </w:r>
            <w:r>
              <w:rPr>
                <w:sz w:val="17"/>
              </w:rPr>
              <w:t>1,60</w:t>
            </w:r>
          </w:p>
        </w:tc>
        <w:tc>
          <w:tcPr>
            <w:tcW w:type="dxa" w:w="1234"/>
          </w:tcPr>
          <w:p>
            <w:r>
              <w:rPr>
                <w:sz w:val="17"/>
              </w:rPr>
            </w:r>
            <w:r>
              <w:rPr>
                <w:sz w:val="17"/>
              </w:rPr>
              <w:t>40,32</w:t>
            </w:r>
          </w:p>
        </w:tc>
      </w:tr>
      <w:tr>
        <w:tc>
          <w:tcPr>
            <w:tcW w:type="dxa" w:w="1234"/>
          </w:tcPr>
          <w:p>
            <w:r>
              <w:rPr>
                <w:sz w:val="17"/>
              </w:rPr>
            </w:r>
            <w:r>
              <w:rPr>
                <w:sz w:val="17"/>
              </w:rPr>
              <w:t>2034</w:t>
            </w:r>
          </w:p>
        </w:tc>
        <w:tc>
          <w:tcPr>
            <w:tcW w:type="dxa" w:w="1234"/>
          </w:tcPr>
          <w:p>
            <w:r>
              <w:rPr>
                <w:sz w:val="17"/>
              </w:rPr>
            </w:r>
            <w:r>
              <w:rPr>
                <w:sz w:val="17"/>
              </w:rPr>
              <w:t>98,35</w:t>
            </w:r>
          </w:p>
        </w:tc>
        <w:tc>
          <w:tcPr>
            <w:tcW w:type="dxa" w:w="1234"/>
          </w:tcPr>
          <w:p>
            <w:r>
              <w:rPr>
                <w:sz w:val="17"/>
              </w:rPr>
            </w:r>
            <w:r>
              <w:rPr>
                <w:sz w:val="17"/>
              </w:rPr>
              <w:t>25,01</w:t>
            </w:r>
          </w:p>
        </w:tc>
        <w:tc>
          <w:tcPr>
            <w:tcW w:type="dxa" w:w="1234"/>
          </w:tcPr>
          <w:p>
            <w:r>
              <w:rPr>
                <w:sz w:val="17"/>
              </w:rPr>
            </w:r>
            <w:r>
              <w:rPr>
                <w:sz w:val="17"/>
              </w:rPr>
              <w:t>73,34</w:t>
            </w:r>
          </w:p>
        </w:tc>
        <w:tc>
          <w:tcPr>
            <w:tcW w:type="dxa" w:w="1234"/>
          </w:tcPr>
          <w:p>
            <w:r>
              <w:rPr>
                <w:sz w:val="17"/>
              </w:rPr>
            </w:r>
            <w:r>
              <w:rPr>
                <w:sz w:val="17"/>
              </w:rPr>
              <w:t>74,6%</w:t>
            </w:r>
          </w:p>
        </w:tc>
        <w:tc>
          <w:tcPr>
            <w:tcW w:type="dxa" w:w="1234"/>
          </w:tcPr>
          <w:p>
            <w:r>
              <w:rPr>
                <w:sz w:val="17"/>
              </w:rPr>
            </w:r>
            <w:r>
              <w:rPr>
                <w:sz w:val="17"/>
              </w:rPr>
              <w:t>1,80</w:t>
            </w:r>
          </w:p>
        </w:tc>
        <w:tc>
          <w:tcPr>
            <w:tcW w:type="dxa" w:w="1234"/>
          </w:tcPr>
          <w:p>
            <w:r>
              <w:rPr>
                <w:sz w:val="17"/>
              </w:rPr>
            </w:r>
            <w:r>
              <w:rPr>
                <w:sz w:val="17"/>
              </w:rPr>
              <w:t>52,44</w:t>
            </w:r>
          </w:p>
        </w:tc>
      </w:tr>
      <w:tr>
        <w:tc>
          <w:tcPr>
            <w:tcW w:type="dxa" w:w="1234"/>
          </w:tcPr>
          <w:p>
            <w:r>
              <w:rPr>
                <w:sz w:val="17"/>
              </w:rPr>
            </w:r>
            <w:r>
              <w:rPr>
                <w:sz w:val="17"/>
              </w:rPr>
              <w:t>2035</w:t>
            </w:r>
          </w:p>
        </w:tc>
        <w:tc>
          <w:tcPr>
            <w:tcW w:type="dxa" w:w="1234"/>
          </w:tcPr>
          <w:p>
            <w:r>
              <w:rPr>
                <w:sz w:val="17"/>
              </w:rPr>
            </w:r>
            <w:r>
              <w:rPr>
                <w:sz w:val="17"/>
              </w:rPr>
              <w:t>120,87</w:t>
            </w:r>
          </w:p>
        </w:tc>
        <w:tc>
          <w:tcPr>
            <w:tcW w:type="dxa" w:w="1234"/>
          </w:tcPr>
          <w:p>
            <w:r>
              <w:rPr>
                <w:sz w:val="17"/>
              </w:rPr>
            </w:r>
            <w:r>
              <w:rPr>
                <w:sz w:val="17"/>
              </w:rPr>
              <w:t>30,33</w:t>
            </w:r>
          </w:p>
        </w:tc>
        <w:tc>
          <w:tcPr>
            <w:tcW w:type="dxa" w:w="1234"/>
          </w:tcPr>
          <w:p>
            <w:r>
              <w:rPr>
                <w:sz w:val="17"/>
              </w:rPr>
            </w:r>
            <w:r>
              <w:rPr>
                <w:sz w:val="17"/>
              </w:rPr>
              <w:t>90,55</w:t>
            </w:r>
          </w:p>
        </w:tc>
        <w:tc>
          <w:tcPr>
            <w:tcW w:type="dxa" w:w="1234"/>
          </w:tcPr>
          <w:p>
            <w:r>
              <w:rPr>
                <w:sz w:val="17"/>
              </w:rPr>
            </w:r>
            <w:r>
              <w:rPr>
                <w:sz w:val="17"/>
              </w:rPr>
              <w:t>74,9%</w:t>
            </w:r>
          </w:p>
        </w:tc>
        <w:tc>
          <w:tcPr>
            <w:tcW w:type="dxa" w:w="1234"/>
          </w:tcPr>
          <w:p>
            <w:r>
              <w:rPr>
                <w:sz w:val="17"/>
              </w:rPr>
            </w:r>
            <w:r>
              <w:rPr>
                <w:sz w:val="17"/>
              </w:rPr>
              <w:t>2,30</w:t>
            </w:r>
          </w:p>
        </w:tc>
        <w:tc>
          <w:tcPr>
            <w:tcW w:type="dxa" w:w="1234"/>
          </w:tcPr>
          <w:p>
            <w:r>
              <w:rPr>
                <w:sz w:val="17"/>
              </w:rPr>
            </w:r>
            <w:r>
              <w:rPr>
                <w:sz w:val="17"/>
              </w:rPr>
              <w:t>64,87</w:t>
            </w:r>
          </w:p>
        </w:tc>
      </w:tr>
      <w:tr>
        <w:tc>
          <w:tcPr>
            <w:tcW w:type="dxa" w:w="1234"/>
          </w:tcPr>
          <w:p>
            <w:r>
              <w:rPr>
                <w:sz w:val="17"/>
              </w:rPr>
            </w:r>
            <w:r>
              <w:rPr>
                <w:sz w:val="17"/>
              </w:rPr>
              <w:t>2036</w:t>
            </w:r>
          </w:p>
        </w:tc>
        <w:tc>
          <w:tcPr>
            <w:tcW w:type="dxa" w:w="1234"/>
          </w:tcPr>
          <w:p>
            <w:r>
              <w:rPr>
                <w:sz w:val="17"/>
              </w:rPr>
            </w:r>
            <w:r>
              <w:rPr>
                <w:sz w:val="17"/>
              </w:rPr>
              <w:t>142,61</w:t>
            </w:r>
          </w:p>
        </w:tc>
        <w:tc>
          <w:tcPr>
            <w:tcW w:type="dxa" w:w="1234"/>
          </w:tcPr>
          <w:p>
            <w:r>
              <w:rPr>
                <w:sz w:val="17"/>
              </w:rPr>
            </w:r>
            <w:r>
              <w:rPr>
                <w:sz w:val="17"/>
              </w:rPr>
              <w:t>35,50</w:t>
            </w:r>
          </w:p>
        </w:tc>
        <w:tc>
          <w:tcPr>
            <w:tcW w:type="dxa" w:w="1234"/>
          </w:tcPr>
          <w:p>
            <w:r>
              <w:rPr>
                <w:sz w:val="17"/>
              </w:rPr>
            </w:r>
            <w:r>
              <w:rPr>
                <w:sz w:val="17"/>
              </w:rPr>
              <w:t>107,11</w:t>
            </w:r>
          </w:p>
        </w:tc>
        <w:tc>
          <w:tcPr>
            <w:tcW w:type="dxa" w:w="1234"/>
          </w:tcPr>
          <w:p>
            <w:r>
              <w:rPr>
                <w:sz w:val="17"/>
              </w:rPr>
            </w:r>
            <w:r>
              <w:rPr>
                <w:sz w:val="17"/>
              </w:rPr>
              <w:t>75,1%</w:t>
            </w:r>
          </w:p>
        </w:tc>
        <w:tc>
          <w:tcPr>
            <w:tcW w:type="dxa" w:w="1234"/>
          </w:tcPr>
          <w:p>
            <w:r>
              <w:rPr>
                <w:sz w:val="17"/>
              </w:rPr>
            </w:r>
            <w:r>
              <w:rPr>
                <w:sz w:val="17"/>
              </w:rPr>
              <w:t>2,00</w:t>
            </w:r>
          </w:p>
        </w:tc>
        <w:tc>
          <w:tcPr>
            <w:tcW w:type="dxa" w:w="1234"/>
          </w:tcPr>
          <w:p>
            <w:r>
              <w:rPr>
                <w:sz w:val="17"/>
              </w:rPr>
            </w:r>
            <w:r>
              <w:rPr>
                <w:sz w:val="17"/>
              </w:rPr>
              <w:t>77,69</w:t>
            </w:r>
          </w:p>
        </w:tc>
      </w:tr>
      <w:tr>
        <w:tc>
          <w:tcPr>
            <w:tcW w:type="dxa" w:w="1234"/>
          </w:tcPr>
          <w:p>
            <w:r>
              <w:rPr>
                <w:sz w:val="17"/>
              </w:rPr>
            </w:r>
            <w:r>
              <w:rPr>
                <w:b/>
                <w:sz w:val="17"/>
              </w:rPr>
              <w:t>Сумма</w:t>
            </w:r>
          </w:p>
        </w:tc>
        <w:tc>
          <w:tcPr>
            <w:tcW w:type="dxa" w:w="1234"/>
          </w:tcPr>
          <w:p>
            <w:r>
              <w:rPr>
                <w:sz w:val="17"/>
              </w:rPr>
            </w:r>
            <w:r>
              <w:rPr>
                <w:b/>
                <w:sz w:val="17"/>
              </w:rPr>
              <w:t>560,02</w:t>
            </w:r>
          </w:p>
        </w:tc>
        <w:tc>
          <w:tcPr>
            <w:tcW w:type="dxa" w:w="1234"/>
          </w:tcPr>
          <w:p>
            <w:r>
              <w:rPr>
                <w:sz w:val="17"/>
              </w:rPr>
            </w:r>
            <w:r>
              <w:rPr>
                <w:b/>
                <w:sz w:val="17"/>
              </w:rPr>
              <w:t>147,55</w:t>
            </w:r>
          </w:p>
        </w:tc>
        <w:tc>
          <w:tcPr>
            <w:tcW w:type="dxa" w:w="1234"/>
          </w:tcPr>
          <w:p>
            <w:r>
              <w:rPr>
                <w:sz w:val="17"/>
              </w:rPr>
            </w:r>
            <w:r>
              <w:rPr>
                <w:b/>
                <w:sz w:val="17"/>
              </w:rPr>
              <w:t>412,47</w:t>
            </w:r>
          </w:p>
        </w:tc>
        <w:tc>
          <w:tcPr>
            <w:tcW w:type="dxa" w:w="1234"/>
          </w:tcPr>
          <w:p>
            <w:r>
              <w:rPr>
                <w:sz w:val="17"/>
              </w:rPr>
            </w:r>
            <w:r>
              <w:rPr>
                <w:sz w:val="17"/>
              </w:rPr>
              <w:t>—</w:t>
            </w:r>
          </w:p>
        </w:tc>
        <w:tc>
          <w:tcPr>
            <w:tcW w:type="dxa" w:w="1234"/>
          </w:tcPr>
          <w:p>
            <w:r>
              <w:rPr>
                <w:sz w:val="17"/>
              </w:rPr>
            </w:r>
            <w:r>
              <w:rPr>
                <w:b/>
                <w:sz w:val="17"/>
              </w:rPr>
              <w:t>13,57</w:t>
            </w:r>
          </w:p>
        </w:tc>
        <w:tc>
          <w:tcPr>
            <w:tcW w:type="dxa" w:w="1234"/>
          </w:tcPr>
          <w:p>
            <w:r>
              <w:rPr>
                <w:sz w:val="17"/>
              </w:rPr>
            </w:r>
            <w:r>
              <w:rPr>
                <w:b/>
                <w:sz w:val="17"/>
              </w:rPr>
              <w:t>290,54</w:t>
            </w:r>
          </w:p>
        </w:tc>
      </w:tr>
    </w:tbl>
    <w:p/>
    <w:p>
      <w:pPr>
        <w:pStyle w:val="Heading3"/>
      </w:pPr>
      <w:r>
        <w:t>9.3. Дисконтирование FCF (WACC 29,58%, full-year)</w:t>
      </w:r>
    </w:p>
    <w:p>
      <w:pPr>
        <w:jc w:val="both"/>
      </w:pPr>
      <w:r>
        <w:t>Применена консервативная full-year-конвенция (end-of-period): FCF каждого года дисконтируется с шагом t = 1…10.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Год</w:t>
            </w:r>
          </w:p>
        </w:tc>
        <w:tc>
          <w:tcPr>
            <w:tcW w:type="dxa" w:w="1728"/>
          </w:tcPr>
          <w:p>
            <w:r>
              <w:rPr>
                <w:b/>
                <w:sz w:val="17"/>
              </w:rPr>
            </w:r>
            <w:r>
              <w:rPr>
                <w:b/>
                <w:sz w:val="17"/>
              </w:rPr>
              <w:t>t</w:t>
            </w:r>
          </w:p>
        </w:tc>
        <w:tc>
          <w:tcPr>
            <w:tcW w:type="dxa" w:w="1728"/>
          </w:tcPr>
          <w:p>
            <w:r>
              <w:rPr>
                <w:b/>
                <w:sz w:val="17"/>
              </w:rPr>
            </w:r>
            <w:r>
              <w:rPr>
                <w:b/>
                <w:sz w:val="17"/>
              </w:rPr>
              <w:t>Поток</w:t>
            </w:r>
          </w:p>
        </w:tc>
        <w:tc>
          <w:tcPr>
            <w:tcW w:type="dxa" w:w="1728"/>
          </w:tcPr>
          <w:p>
            <w:r>
              <w:rPr>
                <w:b/>
                <w:sz w:val="17"/>
              </w:rPr>
            </w:r>
            <w:r>
              <w:rPr>
                <w:b/>
                <w:sz w:val="17"/>
              </w:rPr>
              <w:t>Дисконт-фактор (1/1,2958ᵗ)</w:t>
            </w:r>
          </w:p>
        </w:tc>
        <w:tc>
          <w:tcPr>
            <w:tcW w:type="dxa" w:w="1728"/>
          </w:tcPr>
          <w:p>
            <w:r>
              <w:rPr>
                <w:b/>
                <w:sz w:val="17"/>
              </w:rPr>
            </w:r>
            <w:r>
              <w:rPr>
                <w:b/>
                <w:sz w:val="17"/>
              </w:rPr>
              <w:t>Дисконтированный поток</w:t>
            </w:r>
          </w:p>
        </w:tc>
      </w:tr>
      <w:tr>
        <w:tc>
          <w:tcPr>
            <w:tcW w:type="dxa" w:w="1728"/>
          </w:tcPr>
          <w:p>
            <w:r>
              <w:rPr>
                <w:sz w:val="17"/>
              </w:rPr>
            </w:r>
            <w:r>
              <w:rPr>
                <w:sz w:val="17"/>
              </w:rPr>
              <w:t>2027</w:t>
            </w:r>
          </w:p>
        </w:tc>
        <w:tc>
          <w:tcPr>
            <w:tcW w:type="dxa" w:w="1728"/>
          </w:tcPr>
          <w:p>
            <w:r>
              <w:rPr>
                <w:sz w:val="17"/>
              </w:rPr>
            </w:r>
            <w:r>
              <w:rPr>
                <w:sz w:val="17"/>
              </w:rPr>
              <w:t>1</w:t>
            </w:r>
          </w:p>
        </w:tc>
        <w:tc>
          <w:tcPr>
            <w:tcW w:type="dxa" w:w="1728"/>
          </w:tcPr>
          <w:p>
            <w:r>
              <w:rPr>
                <w:sz w:val="17"/>
              </w:rPr>
            </w:r>
            <w:r>
              <w:rPr>
                <w:sz w:val="17"/>
              </w:rPr>
              <w:t>−1,02</w:t>
            </w:r>
          </w:p>
        </w:tc>
        <w:tc>
          <w:tcPr>
            <w:tcW w:type="dxa" w:w="1728"/>
          </w:tcPr>
          <w:p>
            <w:r>
              <w:rPr>
                <w:sz w:val="17"/>
              </w:rPr>
            </w:r>
            <w:r>
              <w:rPr>
                <w:sz w:val="17"/>
              </w:rPr>
              <w:t>0,7717</w:t>
            </w:r>
          </w:p>
        </w:tc>
        <w:tc>
          <w:tcPr>
            <w:tcW w:type="dxa" w:w="1728"/>
          </w:tcPr>
          <w:p>
            <w:r>
              <w:rPr>
                <w:sz w:val="17"/>
              </w:rPr>
            </w:r>
            <w:r>
              <w:rPr>
                <w:sz w:val="17"/>
              </w:rPr>
              <w:t>−0,79</w:t>
            </w:r>
          </w:p>
        </w:tc>
      </w:tr>
      <w:tr>
        <w:tc>
          <w:tcPr>
            <w:tcW w:type="dxa" w:w="1728"/>
          </w:tcPr>
          <w:p>
            <w:r>
              <w:rPr>
                <w:sz w:val="17"/>
              </w:rPr>
            </w:r>
            <w:r>
              <w:rPr>
                <w:sz w:val="17"/>
              </w:rPr>
              <w:t>2028</w:t>
            </w:r>
          </w:p>
        </w:tc>
        <w:tc>
          <w:tcPr>
            <w:tcW w:type="dxa" w:w="1728"/>
          </w:tcPr>
          <w:p>
            <w:r>
              <w:rPr>
                <w:sz w:val="17"/>
              </w:rPr>
            </w:r>
            <w:r>
              <w:rPr>
                <w:sz w:val="17"/>
              </w:rPr>
              <w:t>2</w:t>
            </w:r>
          </w:p>
        </w:tc>
        <w:tc>
          <w:tcPr>
            <w:tcW w:type="dxa" w:w="1728"/>
          </w:tcPr>
          <w:p>
            <w:r>
              <w:rPr>
                <w:sz w:val="17"/>
              </w:rPr>
            </w:r>
            <w:r>
              <w:rPr>
                <w:sz w:val="17"/>
              </w:rPr>
              <w:t>−0,68</w:t>
            </w:r>
          </w:p>
        </w:tc>
        <w:tc>
          <w:tcPr>
            <w:tcW w:type="dxa" w:w="1728"/>
          </w:tcPr>
          <w:p>
            <w:r>
              <w:rPr>
                <w:sz w:val="17"/>
              </w:rPr>
            </w:r>
            <w:r>
              <w:rPr>
                <w:sz w:val="17"/>
              </w:rPr>
              <w:t>0,5956</w:t>
            </w:r>
          </w:p>
        </w:tc>
        <w:tc>
          <w:tcPr>
            <w:tcW w:type="dxa" w:w="1728"/>
          </w:tcPr>
          <w:p>
            <w:r>
              <w:rPr>
                <w:sz w:val="17"/>
              </w:rPr>
            </w:r>
            <w:r>
              <w:rPr>
                <w:sz w:val="17"/>
              </w:rPr>
              <w:t>−0,41</w:t>
            </w:r>
          </w:p>
        </w:tc>
      </w:tr>
      <w:tr>
        <w:tc>
          <w:tcPr>
            <w:tcW w:type="dxa" w:w="1728"/>
          </w:tcPr>
          <w:p>
            <w:r>
              <w:rPr>
                <w:sz w:val="17"/>
              </w:rPr>
            </w:r>
            <w:r>
              <w:rPr>
                <w:sz w:val="17"/>
              </w:rPr>
              <w:t>2029</w:t>
            </w:r>
          </w:p>
        </w:tc>
        <w:tc>
          <w:tcPr>
            <w:tcW w:type="dxa" w:w="1728"/>
          </w:tcPr>
          <w:p>
            <w:r>
              <w:rPr>
                <w:sz w:val="17"/>
              </w:rPr>
            </w:r>
            <w:r>
              <w:rPr>
                <w:sz w:val="17"/>
              </w:rPr>
              <w:t>3</w:t>
            </w:r>
          </w:p>
        </w:tc>
        <w:tc>
          <w:tcPr>
            <w:tcW w:type="dxa" w:w="1728"/>
          </w:tcPr>
          <w:p>
            <w:r>
              <w:rPr>
                <w:sz w:val="17"/>
              </w:rPr>
            </w:r>
            <w:r>
              <w:rPr>
                <w:sz w:val="17"/>
              </w:rPr>
              <w:t>2,31</w:t>
            </w:r>
          </w:p>
        </w:tc>
        <w:tc>
          <w:tcPr>
            <w:tcW w:type="dxa" w:w="1728"/>
          </w:tcPr>
          <w:p>
            <w:r>
              <w:rPr>
                <w:sz w:val="17"/>
              </w:rPr>
            </w:r>
            <w:r>
              <w:rPr>
                <w:sz w:val="17"/>
              </w:rPr>
              <w:t>0,4596</w:t>
            </w:r>
          </w:p>
        </w:tc>
        <w:tc>
          <w:tcPr>
            <w:tcW w:type="dxa" w:w="1728"/>
          </w:tcPr>
          <w:p>
            <w:r>
              <w:rPr>
                <w:sz w:val="17"/>
              </w:rPr>
            </w:r>
            <w:r>
              <w:rPr>
                <w:sz w:val="17"/>
              </w:rPr>
              <w:t>1,06</w:t>
            </w:r>
          </w:p>
        </w:tc>
      </w:tr>
      <w:tr>
        <w:tc>
          <w:tcPr>
            <w:tcW w:type="dxa" w:w="1728"/>
          </w:tcPr>
          <w:p>
            <w:r>
              <w:rPr>
                <w:sz w:val="17"/>
              </w:rPr>
            </w:r>
            <w:r>
              <w:rPr>
                <w:sz w:val="17"/>
              </w:rPr>
              <w:t>2030</w:t>
            </w:r>
          </w:p>
        </w:tc>
        <w:tc>
          <w:tcPr>
            <w:tcW w:type="dxa" w:w="1728"/>
          </w:tcPr>
          <w:p>
            <w:r>
              <w:rPr>
                <w:sz w:val="17"/>
              </w:rPr>
            </w:r>
            <w:r>
              <w:rPr>
                <w:sz w:val="17"/>
              </w:rPr>
              <w:t>4</w:t>
            </w:r>
          </w:p>
        </w:tc>
        <w:tc>
          <w:tcPr>
            <w:tcW w:type="dxa" w:w="1728"/>
          </w:tcPr>
          <w:p>
            <w:r>
              <w:rPr>
                <w:sz w:val="17"/>
              </w:rPr>
            </w:r>
            <w:r>
              <w:rPr>
                <w:sz w:val="17"/>
              </w:rPr>
              <w:t>7,95</w:t>
            </w:r>
          </w:p>
        </w:tc>
        <w:tc>
          <w:tcPr>
            <w:tcW w:type="dxa" w:w="1728"/>
          </w:tcPr>
          <w:p>
            <w:r>
              <w:rPr>
                <w:sz w:val="17"/>
              </w:rPr>
            </w:r>
            <w:r>
              <w:rPr>
                <w:sz w:val="17"/>
              </w:rPr>
              <w:t>0,3547</w:t>
            </w:r>
          </w:p>
        </w:tc>
        <w:tc>
          <w:tcPr>
            <w:tcW w:type="dxa" w:w="1728"/>
          </w:tcPr>
          <w:p>
            <w:r>
              <w:rPr>
                <w:sz w:val="17"/>
              </w:rPr>
            </w:r>
            <w:r>
              <w:rPr>
                <w:sz w:val="17"/>
              </w:rPr>
              <w:t>2,82</w:t>
            </w:r>
          </w:p>
        </w:tc>
      </w:tr>
      <w:tr>
        <w:tc>
          <w:tcPr>
            <w:tcW w:type="dxa" w:w="1728"/>
          </w:tcPr>
          <w:p>
            <w:r>
              <w:rPr>
                <w:sz w:val="17"/>
              </w:rPr>
            </w:r>
            <w:r>
              <w:rPr>
                <w:sz w:val="17"/>
              </w:rPr>
              <w:t>2031</w:t>
            </w:r>
          </w:p>
        </w:tc>
        <w:tc>
          <w:tcPr>
            <w:tcW w:type="dxa" w:w="1728"/>
          </w:tcPr>
          <w:p>
            <w:r>
              <w:rPr>
                <w:sz w:val="17"/>
              </w:rPr>
            </w:r>
            <w:r>
              <w:rPr>
                <w:sz w:val="17"/>
              </w:rPr>
              <w:t>5</w:t>
            </w:r>
          </w:p>
        </w:tc>
        <w:tc>
          <w:tcPr>
            <w:tcW w:type="dxa" w:w="1728"/>
          </w:tcPr>
          <w:p>
            <w:r>
              <w:rPr>
                <w:sz w:val="17"/>
              </w:rPr>
            </w:r>
            <w:r>
              <w:rPr>
                <w:sz w:val="17"/>
              </w:rPr>
              <w:t>18,41</w:t>
            </w:r>
          </w:p>
        </w:tc>
        <w:tc>
          <w:tcPr>
            <w:tcW w:type="dxa" w:w="1728"/>
          </w:tcPr>
          <w:p>
            <w:r>
              <w:rPr>
                <w:sz w:val="17"/>
              </w:rPr>
            </w:r>
            <w:r>
              <w:rPr>
                <w:sz w:val="17"/>
              </w:rPr>
              <w:t>0,2737</w:t>
            </w:r>
          </w:p>
        </w:tc>
        <w:tc>
          <w:tcPr>
            <w:tcW w:type="dxa" w:w="1728"/>
          </w:tcPr>
          <w:p>
            <w:r>
              <w:rPr>
                <w:sz w:val="17"/>
              </w:rPr>
            </w:r>
            <w:r>
              <w:rPr>
                <w:sz w:val="17"/>
              </w:rPr>
              <w:t>5,04</w:t>
            </w:r>
          </w:p>
        </w:tc>
      </w:tr>
      <w:tr>
        <w:tc>
          <w:tcPr>
            <w:tcW w:type="dxa" w:w="1728"/>
          </w:tcPr>
          <w:p>
            <w:r>
              <w:rPr>
                <w:sz w:val="17"/>
              </w:rPr>
            </w:r>
            <w:r>
              <w:rPr>
                <w:sz w:val="17"/>
              </w:rPr>
              <w:t>2032</w:t>
            </w:r>
          </w:p>
        </w:tc>
        <w:tc>
          <w:tcPr>
            <w:tcW w:type="dxa" w:w="1728"/>
          </w:tcPr>
          <w:p>
            <w:r>
              <w:rPr>
                <w:sz w:val="17"/>
              </w:rPr>
            </w:r>
            <w:r>
              <w:rPr>
                <w:sz w:val="17"/>
              </w:rPr>
              <w:t>6</w:t>
            </w:r>
          </w:p>
        </w:tc>
        <w:tc>
          <w:tcPr>
            <w:tcW w:type="dxa" w:w="1728"/>
          </w:tcPr>
          <w:p>
            <w:r>
              <w:rPr>
                <w:sz w:val="17"/>
              </w:rPr>
            </w:r>
            <w:r>
              <w:rPr>
                <w:sz w:val="17"/>
              </w:rPr>
              <w:t>28,24</w:t>
            </w:r>
          </w:p>
        </w:tc>
        <w:tc>
          <w:tcPr>
            <w:tcW w:type="dxa" w:w="1728"/>
          </w:tcPr>
          <w:p>
            <w:r>
              <w:rPr>
                <w:sz w:val="17"/>
              </w:rPr>
            </w:r>
            <w:r>
              <w:rPr>
                <w:sz w:val="17"/>
              </w:rPr>
              <w:t>0,2112</w:t>
            </w:r>
          </w:p>
        </w:tc>
        <w:tc>
          <w:tcPr>
            <w:tcW w:type="dxa" w:w="1728"/>
          </w:tcPr>
          <w:p>
            <w:r>
              <w:rPr>
                <w:sz w:val="17"/>
              </w:rPr>
            </w:r>
            <w:r>
              <w:rPr>
                <w:sz w:val="17"/>
              </w:rPr>
              <w:t>5,97</w:t>
            </w:r>
          </w:p>
        </w:tc>
      </w:tr>
      <w:tr>
        <w:tc>
          <w:tcPr>
            <w:tcW w:type="dxa" w:w="1728"/>
          </w:tcPr>
          <w:p>
            <w:r>
              <w:rPr>
                <w:sz w:val="17"/>
              </w:rPr>
            </w:r>
            <w:r>
              <w:rPr>
                <w:sz w:val="17"/>
              </w:rPr>
              <w:t>2033</w:t>
            </w:r>
          </w:p>
        </w:tc>
        <w:tc>
          <w:tcPr>
            <w:tcW w:type="dxa" w:w="1728"/>
          </w:tcPr>
          <w:p>
            <w:r>
              <w:rPr>
                <w:sz w:val="17"/>
              </w:rPr>
            </w:r>
            <w:r>
              <w:rPr>
                <w:sz w:val="17"/>
              </w:rPr>
              <w:t>7</w:t>
            </w:r>
          </w:p>
        </w:tc>
        <w:tc>
          <w:tcPr>
            <w:tcW w:type="dxa" w:w="1728"/>
          </w:tcPr>
          <w:p>
            <w:r>
              <w:rPr>
                <w:sz w:val="17"/>
              </w:rPr>
            </w:r>
            <w:r>
              <w:rPr>
                <w:sz w:val="17"/>
              </w:rPr>
              <w:t>40,32</w:t>
            </w:r>
          </w:p>
        </w:tc>
        <w:tc>
          <w:tcPr>
            <w:tcW w:type="dxa" w:w="1728"/>
          </w:tcPr>
          <w:p>
            <w:r>
              <w:rPr>
                <w:sz w:val="17"/>
              </w:rPr>
            </w:r>
            <w:r>
              <w:rPr>
                <w:sz w:val="17"/>
              </w:rPr>
              <w:t>0,1630</w:t>
            </w:r>
          </w:p>
        </w:tc>
        <w:tc>
          <w:tcPr>
            <w:tcW w:type="dxa" w:w="1728"/>
          </w:tcPr>
          <w:p>
            <w:r>
              <w:rPr>
                <w:sz w:val="17"/>
              </w:rPr>
            </w:r>
            <w:r>
              <w:rPr>
                <w:sz w:val="17"/>
              </w:rPr>
              <w:t>6,57</w:t>
            </w:r>
          </w:p>
        </w:tc>
      </w:tr>
      <w:tr>
        <w:tc>
          <w:tcPr>
            <w:tcW w:type="dxa" w:w="1728"/>
          </w:tcPr>
          <w:p>
            <w:r>
              <w:rPr>
                <w:sz w:val="17"/>
              </w:rPr>
            </w:r>
            <w:r>
              <w:rPr>
                <w:sz w:val="17"/>
              </w:rPr>
              <w:t>2034</w:t>
            </w:r>
          </w:p>
        </w:tc>
        <w:tc>
          <w:tcPr>
            <w:tcW w:type="dxa" w:w="1728"/>
          </w:tcPr>
          <w:p>
            <w:r>
              <w:rPr>
                <w:sz w:val="17"/>
              </w:rPr>
            </w:r>
            <w:r>
              <w:rPr>
                <w:sz w:val="17"/>
              </w:rPr>
              <w:t>8</w:t>
            </w:r>
          </w:p>
        </w:tc>
        <w:tc>
          <w:tcPr>
            <w:tcW w:type="dxa" w:w="1728"/>
          </w:tcPr>
          <w:p>
            <w:r>
              <w:rPr>
                <w:sz w:val="17"/>
              </w:rPr>
            </w:r>
            <w:r>
              <w:rPr>
                <w:sz w:val="17"/>
              </w:rPr>
              <w:t>52,44</w:t>
            </w:r>
          </w:p>
        </w:tc>
        <w:tc>
          <w:tcPr>
            <w:tcW w:type="dxa" w:w="1728"/>
          </w:tcPr>
          <w:p>
            <w:r>
              <w:rPr>
                <w:sz w:val="17"/>
              </w:rPr>
            </w:r>
            <w:r>
              <w:rPr>
                <w:sz w:val="17"/>
              </w:rPr>
              <w:t>0,1258</w:t>
            </w:r>
          </w:p>
        </w:tc>
        <w:tc>
          <w:tcPr>
            <w:tcW w:type="dxa" w:w="1728"/>
          </w:tcPr>
          <w:p>
            <w:r>
              <w:rPr>
                <w:sz w:val="17"/>
              </w:rPr>
            </w:r>
            <w:r>
              <w:rPr>
                <w:sz w:val="17"/>
              </w:rPr>
              <w:t>6,60</w:t>
            </w:r>
          </w:p>
        </w:tc>
      </w:tr>
      <w:tr>
        <w:tc>
          <w:tcPr>
            <w:tcW w:type="dxa" w:w="1728"/>
          </w:tcPr>
          <w:p>
            <w:r>
              <w:rPr>
                <w:sz w:val="17"/>
              </w:rPr>
            </w:r>
            <w:r>
              <w:rPr>
                <w:sz w:val="17"/>
              </w:rPr>
              <w:t>2035</w:t>
            </w:r>
          </w:p>
        </w:tc>
        <w:tc>
          <w:tcPr>
            <w:tcW w:type="dxa" w:w="1728"/>
          </w:tcPr>
          <w:p>
            <w:r>
              <w:rPr>
                <w:sz w:val="17"/>
              </w:rPr>
            </w:r>
            <w:r>
              <w:rPr>
                <w:sz w:val="17"/>
              </w:rPr>
              <w:t>9</w:t>
            </w:r>
          </w:p>
        </w:tc>
        <w:tc>
          <w:tcPr>
            <w:tcW w:type="dxa" w:w="1728"/>
          </w:tcPr>
          <w:p>
            <w:r>
              <w:rPr>
                <w:sz w:val="17"/>
              </w:rPr>
            </w:r>
            <w:r>
              <w:rPr>
                <w:sz w:val="17"/>
              </w:rPr>
              <w:t>64,87</w:t>
            </w:r>
          </w:p>
        </w:tc>
        <w:tc>
          <w:tcPr>
            <w:tcW w:type="dxa" w:w="1728"/>
          </w:tcPr>
          <w:p>
            <w:r>
              <w:rPr>
                <w:sz w:val="17"/>
              </w:rPr>
            </w:r>
            <w:r>
              <w:rPr>
                <w:sz w:val="17"/>
              </w:rPr>
              <w:t>0,0971</w:t>
            </w:r>
          </w:p>
        </w:tc>
        <w:tc>
          <w:tcPr>
            <w:tcW w:type="dxa" w:w="1728"/>
          </w:tcPr>
          <w:p>
            <w:r>
              <w:rPr>
                <w:sz w:val="17"/>
              </w:rPr>
            </w:r>
            <w:r>
              <w:rPr>
                <w:sz w:val="17"/>
              </w:rPr>
              <w:t>6,30</w:t>
            </w:r>
          </w:p>
        </w:tc>
      </w:tr>
      <w:tr>
        <w:tc>
          <w:tcPr>
            <w:tcW w:type="dxa" w:w="1728"/>
          </w:tcPr>
          <w:p>
            <w:r>
              <w:rPr>
                <w:sz w:val="17"/>
              </w:rPr>
            </w:r>
            <w:r>
              <w:rPr>
                <w:sz w:val="17"/>
              </w:rPr>
              <w:t>2036</w:t>
            </w:r>
          </w:p>
        </w:tc>
        <w:tc>
          <w:tcPr>
            <w:tcW w:type="dxa" w:w="1728"/>
          </w:tcPr>
          <w:p>
            <w:r>
              <w:rPr>
                <w:sz w:val="17"/>
              </w:rPr>
            </w:r>
            <w:r>
              <w:rPr>
                <w:sz w:val="17"/>
              </w:rPr>
              <w:t>10</w:t>
            </w:r>
          </w:p>
        </w:tc>
        <w:tc>
          <w:tcPr>
            <w:tcW w:type="dxa" w:w="1728"/>
          </w:tcPr>
          <w:p>
            <w:r>
              <w:rPr>
                <w:sz w:val="17"/>
              </w:rPr>
            </w:r>
            <w:r>
              <w:rPr>
                <w:sz w:val="17"/>
              </w:rPr>
              <w:t>77,69</w:t>
            </w:r>
          </w:p>
        </w:tc>
        <w:tc>
          <w:tcPr>
            <w:tcW w:type="dxa" w:w="1728"/>
          </w:tcPr>
          <w:p>
            <w:r>
              <w:rPr>
                <w:sz w:val="17"/>
              </w:rPr>
            </w:r>
            <w:r>
              <w:rPr>
                <w:sz w:val="17"/>
              </w:rPr>
              <w:t>0,0749</w:t>
            </w:r>
          </w:p>
        </w:tc>
        <w:tc>
          <w:tcPr>
            <w:tcW w:type="dxa" w:w="1728"/>
          </w:tcPr>
          <w:p>
            <w:r>
              <w:rPr>
                <w:sz w:val="17"/>
              </w:rPr>
            </w:r>
            <w:r>
              <w:rPr>
                <w:sz w:val="17"/>
              </w:rPr>
              <w:t>5,82</w:t>
            </w:r>
          </w:p>
        </w:tc>
      </w:tr>
      <w:tr>
        <w:tc>
          <w:tcPr>
            <w:tcW w:type="dxa" w:w="1728"/>
          </w:tcPr>
          <w:p>
            <w:r>
              <w:rPr>
                <w:sz w:val="17"/>
              </w:rPr>
            </w:r>
            <w:r>
              <w:rPr>
                <w:b/>
                <w:sz w:val="17"/>
              </w:rPr>
              <w:t>Сумма дисконтированных потоков 2027–2036</w:t>
            </w:r>
          </w:p>
        </w:tc>
        <w:tc>
          <w:tcPr>
            <w:tcW w:type="dxa" w:w="1728"/>
          </w:tcPr>
          <w:p>
            <w:r>
              <w:rPr>
                <w:sz w:val="17"/>
              </w:rPr>
            </w:r>
          </w:p>
        </w:tc>
        <w:tc>
          <w:tcPr>
            <w:tcW w:type="dxa" w:w="1728"/>
          </w:tcPr>
          <w:p>
            <w:r>
              <w:rPr>
                <w:sz w:val="17"/>
              </w:rPr>
            </w:r>
          </w:p>
        </w:tc>
        <w:tc>
          <w:tcPr>
            <w:tcW w:type="dxa" w:w="1728"/>
          </w:tcPr>
          <w:p>
            <w:r>
              <w:rPr>
                <w:sz w:val="17"/>
              </w:rPr>
            </w:r>
          </w:p>
        </w:tc>
        <w:tc>
          <w:tcPr>
            <w:tcW w:type="dxa" w:w="1728"/>
          </w:tcPr>
          <w:p>
            <w:r>
              <w:rPr>
                <w:sz w:val="17"/>
              </w:rPr>
            </w:r>
            <w:r>
              <w:rPr>
                <w:b/>
                <w:sz w:val="17"/>
              </w:rPr>
              <w:t>38,99</w:t>
            </w:r>
          </w:p>
        </w:tc>
      </w:tr>
    </w:tbl>
    <w:p/>
    <w:p>
      <w:pPr>
        <w:pStyle w:val="Heading3"/>
      </w:pPr>
      <w:r>
        <w:t>9.4. Terminal Value (Gordon, конс.)</w:t>
      </w:r>
    </w:p>
    <w:p>
      <w:pPr>
        <w:jc w:val="both"/>
      </w:pPr>
      <w:r>
        <w:t>TV на конец 2034 по модели Гордона с консервативным долгосрочным ростом g = 2% (= ½ инфляционного таргета ЦБ), терминальный FCF — net of maintenance-capex (≈ амортизация):</w:t>
      </w:r>
    </w:p>
    <w:p>
      <w:pPr>
        <w:jc w:val="both"/>
      </w:pPr>
      <w:r>
        <w:t xml:space="preserve">Терминальный поток нормализован: капитальные вложения приравнены к амортизации, прирост оборотного капитала равен g × оборотный капитал. Нормализованный поток — </w:t>
      </w:r>
      <w:r>
        <w:rPr>
          <w:b/>
        </w:rPr>
        <w:t>78,71 млрд ₽</w:t>
      </w:r>
      <w:r>
        <w:t>. Долгосрочный темп роста g = 4% — номинальный, равный целевой инфляции, то есть нулевой реальный рост.</w:t>
      </w:r>
    </w:p>
    <w:p>
      <w:pPr>
        <w:jc w:val="both"/>
      </w:pPr>
      <w:r>
        <w:t xml:space="preserve">Формула: TV2036 = 78,71 · 1,04 / (0,2958 − 0,04) ≈ </w:t>
      </w:r>
      <w:r>
        <w:rPr>
          <w:b/>
        </w:rPr>
        <w:t>320,0 млрд ₽</w:t>
      </w:r>
      <w:r>
        <w:t xml:space="preserve">. Дисконтированная к дате оценки (× 0,0749) = </w:t>
      </w:r>
      <w:r>
        <w:rPr>
          <w:b/>
        </w:rPr>
        <w:t>23,98 млрд ₽</w:t>
      </w:r>
      <w:r>
        <w:t>.</w:t>
      </w:r>
    </w:p>
    <w:p>
      <w:pPr>
        <w:jc w:val="both"/>
      </w:pPr>
      <w:r>
        <w:t xml:space="preserve">Доля терминальной стоимости в оценке — </w:t>
      </w:r>
      <w:r>
        <w:rPr>
          <w:b/>
        </w:rPr>
        <w:t>38%</w:t>
      </w:r>
      <w:r>
        <w:t>. Это в пределах нормы для растущей инфраструктурной компании, но у верхней границы диапазона.</w:t>
      </w:r>
    </w:p>
    <w:p>
      <w:pPr>
        <w:pStyle w:val="Heading3"/>
      </w:pPr>
      <w:r>
        <w:t>9.5. Enterprise Value (DCF Base)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Показатель</w:t>
            </w:r>
          </w:p>
        </w:tc>
        <w:tc>
          <w:tcPr>
            <w:tcW w:type="dxa" w:w="4320"/>
          </w:tcPr>
          <w:p>
            <w:r>
              <w:rPr>
                <w:b/>
                <w:sz w:val="17"/>
              </w:rPr>
            </w:r>
            <w:r>
              <w:rPr>
                <w:b/>
                <w:sz w:val="17"/>
              </w:rPr>
              <w:t>Значение</w:t>
            </w:r>
          </w:p>
        </w:tc>
      </w:tr>
      <w:tr>
        <w:tc>
          <w:tcPr>
            <w:tcW w:type="dxa" w:w="4320"/>
          </w:tcPr>
          <w:p>
            <w:r>
              <w:rPr>
                <w:sz w:val="17"/>
              </w:rPr>
            </w:r>
            <w:r>
              <w:rPr>
                <w:sz w:val="17"/>
              </w:rPr>
              <w:t>Сумма дисконтированных потоков 2027–2036</w:t>
            </w:r>
          </w:p>
        </w:tc>
        <w:tc>
          <w:tcPr>
            <w:tcW w:type="dxa" w:w="4320"/>
          </w:tcPr>
          <w:p>
            <w:r>
              <w:rPr>
                <w:sz w:val="17"/>
              </w:rPr>
            </w:r>
            <w:r>
              <w:rPr>
                <w:sz w:val="17"/>
              </w:rPr>
              <w:t>38,99 млрд ₽</w:t>
            </w:r>
          </w:p>
        </w:tc>
      </w:tr>
      <w:tr>
        <w:tc>
          <w:tcPr>
            <w:tcW w:type="dxa" w:w="4320"/>
          </w:tcPr>
          <w:p>
            <w:r>
              <w:rPr>
                <w:sz w:val="17"/>
              </w:rPr>
            </w:r>
            <w:r>
              <w:rPr>
                <w:sz w:val="17"/>
              </w:rPr>
              <w:t>Дисконтированная терминальная стоимость (Гордон, g=4%)</w:t>
            </w:r>
          </w:p>
        </w:tc>
        <w:tc>
          <w:tcPr>
            <w:tcW w:type="dxa" w:w="4320"/>
          </w:tcPr>
          <w:p>
            <w:r>
              <w:rPr>
                <w:sz w:val="17"/>
              </w:rPr>
            </w:r>
            <w:r>
              <w:rPr>
                <w:sz w:val="17"/>
              </w:rPr>
              <w:t>23,98 млрд ₽</w:t>
            </w:r>
          </w:p>
        </w:tc>
      </w:tr>
      <w:tr>
        <w:tc>
          <w:tcPr>
            <w:tcW w:type="dxa" w:w="4320"/>
          </w:tcPr>
          <w:p>
            <w:r>
              <w:rPr>
                <w:sz w:val="17"/>
              </w:rPr>
            </w:r>
            <w:r>
              <w:rPr>
                <w:b/>
                <w:sz w:val="17"/>
              </w:rPr>
              <w:t>Стоимость бизнеса по доходному подходу</w:t>
            </w:r>
          </w:p>
        </w:tc>
        <w:tc>
          <w:tcPr>
            <w:tcW w:type="dxa" w:w="4320"/>
          </w:tcPr>
          <w:p>
            <w:r>
              <w:rPr>
                <w:sz w:val="17"/>
              </w:rPr>
            </w:r>
            <w:r>
              <w:rPr>
                <w:b/>
                <w:sz w:val="17"/>
              </w:rPr>
              <w:t>≈ 62,97 млрд ₽</w:t>
            </w:r>
          </w:p>
        </w:tc>
      </w:tr>
      <w:tr>
        <w:tc>
          <w:tcPr>
            <w:tcW w:type="dxa" w:w="4320"/>
          </w:tcPr>
          <w:p>
            <w:r>
              <w:rPr>
                <w:sz w:val="17"/>
              </w:rPr>
            </w:r>
            <w:r>
              <w:rPr>
                <w:sz w:val="17"/>
              </w:rPr>
              <w:t>В долларах при курсе 71,55</w:t>
            </w:r>
          </w:p>
        </w:tc>
        <w:tc>
          <w:tcPr>
            <w:tcW w:type="dxa" w:w="4320"/>
          </w:tcPr>
          <w:p>
            <w:r>
              <w:rPr>
                <w:sz w:val="17"/>
              </w:rPr>
            </w:r>
            <w:r>
              <w:rPr>
                <w:sz w:val="17"/>
              </w:rPr>
              <w:t>≈ 880 млн USD</w:t>
            </w:r>
          </w:p>
        </w:tc>
      </w:tr>
      <w:tr>
        <w:tc>
          <w:tcPr>
            <w:tcW w:type="dxa" w:w="4320"/>
          </w:tcPr>
          <w:p>
            <w:r>
              <w:rPr>
                <w:sz w:val="17"/>
              </w:rPr>
            </w:r>
            <w:r>
              <w:rPr>
                <w:sz w:val="17"/>
              </w:rPr>
              <w:t>Внутренняя норма доходности проекта</w:t>
            </w:r>
          </w:p>
        </w:tc>
        <w:tc>
          <w:tcPr>
            <w:tcW w:type="dxa" w:w="4320"/>
          </w:tcPr>
          <w:p>
            <w:r>
              <w:rPr>
                <w:sz w:val="17"/>
              </w:rPr>
            </w:r>
            <w:r>
              <w:rPr>
                <w:sz w:val="17"/>
              </w:rPr>
              <w:t>182%</w:t>
            </w:r>
          </w:p>
        </w:tc>
      </w:tr>
      <w:tr>
        <w:tc>
          <w:tcPr>
            <w:tcW w:type="dxa" w:w="4320"/>
          </w:tcPr>
          <w:p>
            <w:r>
              <w:rPr>
                <w:sz w:val="17"/>
              </w:rPr>
            </w:r>
            <w:r>
              <w:rPr>
                <w:sz w:val="17"/>
              </w:rPr>
              <w:t>Окупаемость простая / дисконтированная</w:t>
            </w:r>
          </w:p>
        </w:tc>
        <w:tc>
          <w:tcPr>
            <w:tcW w:type="dxa" w:w="4320"/>
          </w:tcPr>
          <w:p>
            <w:r>
              <w:rPr>
                <w:sz w:val="17"/>
              </w:rPr>
            </w:r>
            <w:r>
              <w:rPr>
                <w:sz w:val="17"/>
              </w:rPr>
              <w:t>2,73 / 3,05 года</w:t>
            </w:r>
          </w:p>
        </w:tc>
      </w:tr>
      <w:tr>
        <w:tc>
          <w:tcPr>
            <w:tcW w:type="dxa" w:w="4320"/>
          </w:tcPr>
          <w:p>
            <w:r>
              <w:rPr>
                <w:sz w:val="17"/>
              </w:rPr>
            </w:r>
            <w:r>
              <w:rPr>
                <w:sz w:val="17"/>
              </w:rPr>
              <w:t>Пиковая потребность в финансировании</w:t>
            </w:r>
          </w:p>
        </w:tc>
        <w:tc>
          <w:tcPr>
            <w:tcW w:type="dxa" w:w="4320"/>
          </w:tcPr>
          <w:p>
            <w:r>
              <w:rPr>
                <w:sz w:val="17"/>
              </w:rPr>
            </w:r>
            <w:r>
              <w:rPr>
                <w:sz w:val="17"/>
              </w:rPr>
              <w:t>1,70 млрд ₽ (конец 2028)</w:t>
            </w:r>
          </w:p>
        </w:tc>
      </w:tr>
    </w:tbl>
    <w:p/>
    <w:p>
      <w:pPr>
        <w:ind w:left="360"/>
      </w:pPr>
      <w:r>
        <w:rPr>
          <w:i/>
          <w:color w:val="444444"/>
        </w:rPr>
        <w:t>Внутренняя норма доходности проекта выше 100% отражает не преимущество проекта, а неполноту модели по стоимости входа на рынок: в ней нет требований к собственным средствам оператора информационной системы, резервов и отдельной статьи на привлечение клиентов. Для переговоров этот показатель непригоден.</w:t>
      </w:r>
    </w:p>
    <w:p>
      <w:pPr>
        <w:pStyle w:val="Heading3"/>
      </w:pPr>
      <w:r>
        <w:t>9.6. Pre-money после единого stage discount 60%</w:t>
      </w:r>
    </w:p>
    <w:p>
      <w:pPr>
        <w:jc w:val="both"/>
      </w:pPr>
      <w:r>
        <w:t xml:space="preserve">Формула: Pre-money по доходному подходу = 62,97 × 0,40 ≈ </w:t>
      </w:r>
      <w:r>
        <w:rPr>
          <w:b/>
        </w:rPr>
        <w:t>25,19 млрд ₽ ≈ 352 млн USD</w:t>
      </w:r>
      <w:r>
        <w:t>.</w:t>
      </w:r>
    </w:p>
    <w:p>
      <w:pPr>
        <w:jc w:val="both"/>
      </w:pPr>
      <w:r>
        <w:t>Скидка за стадию учитывает: регуляторный риск (бинарный фактор), дисконт выхода, риск размытия, премию за выход на рынок.</w:t>
      </w:r>
    </w:p>
    <w:p>
      <w:pPr>
        <w:ind w:left="360"/>
      </w:pPr>
      <w:r>
        <w:rPr>
          <w:b/>
          <w:i/>
          <w:color w:val="444444"/>
        </w:rPr>
        <w:t>Скидка применяется только здесь.</w:t>
      </w:r>
      <w:r>
        <w:rPr>
          <w:i/>
          <w:color w:val="444444"/>
        </w:rPr>
        <w:t xml:space="preserve"> В редакции 1 она применялась дважды — внутри доходного подхода и затем ещё раз поверх свёртки методов (§ 10), из-за чего итоговая стоимость входа была занижена примерно вдвое.</w:t>
      </w:r>
    </w:p>
    <w:p>
      <w:pPr>
        <w:pStyle w:val="Heading3"/>
      </w:pPr>
      <w:r>
        <w:t>9.7. Comparable Multiples</w:t>
      </w:r>
    </w:p>
    <w:p>
      <w:pPr>
        <w:pStyle w:val="ListBullet"/>
      </w:pPr>
      <w:r>
        <w:t>Целевая выручка год 5 (2029) — ₽ 37,5 млрд ≈ $524 млн.</w:t>
      </w:r>
    </w:p>
    <w:p>
      <w:pPr>
        <w:pStyle w:val="ListBullet"/>
      </w:pPr>
      <w:r>
        <w:t>Медианный мультипликатор EV / Revenue 5Y = 14,2× (см. таблицу 6.4).</w:t>
      </w:r>
    </w:p>
    <w:p>
      <w:pPr>
        <w:pStyle w:val="ListBullet"/>
      </w:pPr>
      <w:r>
        <w:t>(Ф.9.7a): EV5Y = 524 · 14,2 = 7 441 млн USD.</w:t>
      </w:r>
    </w:p>
    <w:p>
      <w:pPr>
        <w:pStyle w:val="ListBullet"/>
      </w:pPr>
      <w:r>
        <w:t>(Ф.9.7b): EVpresent = 7 441 / (1,295)&lt;sup&gt;5&lt;/sup&gt; ≈ 2 069 млн USD.</w:t>
      </w:r>
    </w:p>
    <w:p>
      <w:pPr>
        <w:pStyle w:val="ListBullet"/>
      </w:pPr>
      <w:r>
        <w:t>(Ф.9.7c): Pre-money по сравнительному подходу = 2 069 · 0,184 ≈ 380 млн USD ≈ 27,19 млрд ₽.</w:t>
      </w:r>
    </w:p>
    <w:p>
      <w:pPr>
        <w:ind w:left="360"/>
      </w:pPr>
      <w:r>
        <w:rPr>
          <w:b/>
          <w:i/>
          <w:color w:val="444444"/>
        </w:rPr>
        <w:t>Оговорка к сравнительному подходу.</w:t>
      </w:r>
      <w:r>
        <w:rPr>
          <w:i/>
          <w:color w:val="444444"/>
        </w:rPr>
        <w:t xml:space="preserve"> Понижающий коэффициент 0,184 соответствует скидке за раннюю стадию 81,6% (§ 14.1) и не совпадает со скидкой 60%, применяемой в доходном подходе. Две разные скидки за одну и ту же стадию в одном отчёте требуют либо обоснования, либо унификации. Величина 380 млн USD оставлена как есть, повторному дисконтированию не подвергается, но требует раскрытия происхождения коэффициента. Кроме того, она не пересчитывается по сценариям, из-за чего диапазон итоговой оценки искусственно сжат.</w:t>
      </w:r>
    </w:p>
    <w:p>
      <w:pPr>
        <w:pStyle w:val="Heading3"/>
      </w:pPr>
      <w:r>
        <w:t>9.8. Risk-Adjusted Berkus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Фактор</w:t>
            </w:r>
          </w:p>
        </w:tc>
        <w:tc>
          <w:tcPr>
            <w:tcW w:type="dxa" w:w="2880"/>
          </w:tcPr>
          <w:p>
            <w:r>
              <w:rPr>
                <w:b/>
                <w:sz w:val="17"/>
              </w:rPr>
            </w:r>
            <w:r>
              <w:rPr>
                <w:b/>
                <w:sz w:val="17"/>
              </w:rPr>
              <w:t>Максимум, $ млн</w:t>
            </w:r>
          </w:p>
        </w:tc>
        <w:tc>
          <w:tcPr>
            <w:tcW w:type="dxa" w:w="2880"/>
          </w:tcPr>
          <w:p>
            <w:r>
              <w:rPr>
                <w:b/>
                <w:sz w:val="17"/>
              </w:rPr>
            </w:r>
            <w:r>
              <w:rPr>
                <w:b/>
                <w:sz w:val="17"/>
              </w:rPr>
              <w:t>Текущая оценка, $ млн</w:t>
            </w:r>
          </w:p>
        </w:tc>
      </w:tr>
      <w:tr>
        <w:tc>
          <w:tcPr>
            <w:tcW w:type="dxa" w:w="2880"/>
          </w:tcPr>
          <w:p>
            <w:r>
              <w:rPr>
                <w:sz w:val="17"/>
              </w:rPr>
            </w:r>
            <w:r>
              <w:rPr>
                <w:sz w:val="17"/>
              </w:rPr>
              <w:t>Sound idea</w:t>
            </w:r>
          </w:p>
        </w:tc>
        <w:tc>
          <w:tcPr>
            <w:tcW w:type="dxa" w:w="2880"/>
          </w:tcPr>
          <w:p>
            <w:r>
              <w:rPr>
                <w:sz w:val="17"/>
              </w:rPr>
            </w:r>
            <w:r>
              <w:rPr>
                <w:sz w:val="17"/>
              </w:rPr>
              <w:t>0,50</w:t>
            </w:r>
          </w:p>
        </w:tc>
        <w:tc>
          <w:tcPr>
            <w:tcW w:type="dxa" w:w="2880"/>
          </w:tcPr>
          <w:p>
            <w:r>
              <w:rPr>
                <w:sz w:val="17"/>
              </w:rPr>
            </w:r>
            <w:r>
              <w:rPr>
                <w:sz w:val="17"/>
              </w:rPr>
              <w:t>0,50</w:t>
            </w:r>
          </w:p>
        </w:tc>
      </w:tr>
      <w:tr>
        <w:tc>
          <w:tcPr>
            <w:tcW w:type="dxa" w:w="2880"/>
          </w:tcPr>
          <w:p>
            <w:r>
              <w:rPr>
                <w:sz w:val="17"/>
              </w:rPr>
            </w:r>
            <w:r>
              <w:rPr>
                <w:sz w:val="17"/>
              </w:rPr>
              <w:t>Prototype</w:t>
            </w:r>
          </w:p>
        </w:tc>
        <w:tc>
          <w:tcPr>
            <w:tcW w:type="dxa" w:w="2880"/>
          </w:tcPr>
          <w:p>
            <w:r>
              <w:rPr>
                <w:sz w:val="17"/>
              </w:rPr>
            </w:r>
            <w:r>
              <w:rPr>
                <w:sz w:val="17"/>
              </w:rPr>
              <w:t>0,50</w:t>
            </w:r>
          </w:p>
        </w:tc>
        <w:tc>
          <w:tcPr>
            <w:tcW w:type="dxa" w:w="2880"/>
          </w:tcPr>
          <w:p>
            <w:r>
              <w:rPr>
                <w:sz w:val="17"/>
              </w:rPr>
            </w:r>
            <w:r>
              <w:rPr>
                <w:sz w:val="17"/>
              </w:rPr>
              <w:t>0,50</w:t>
            </w:r>
          </w:p>
        </w:tc>
      </w:tr>
      <w:tr>
        <w:tc>
          <w:tcPr>
            <w:tcW w:type="dxa" w:w="2880"/>
          </w:tcPr>
          <w:p>
            <w:r>
              <w:rPr>
                <w:sz w:val="17"/>
              </w:rPr>
            </w:r>
            <w:r>
              <w:rPr>
                <w:sz w:val="17"/>
              </w:rPr>
              <w:t>Quality management team</w:t>
            </w:r>
          </w:p>
        </w:tc>
        <w:tc>
          <w:tcPr>
            <w:tcW w:type="dxa" w:w="2880"/>
          </w:tcPr>
          <w:p>
            <w:r>
              <w:rPr>
                <w:sz w:val="17"/>
              </w:rPr>
            </w:r>
            <w:r>
              <w:rPr>
                <w:sz w:val="17"/>
              </w:rPr>
              <w:t>0,50</w:t>
            </w:r>
          </w:p>
        </w:tc>
        <w:tc>
          <w:tcPr>
            <w:tcW w:type="dxa" w:w="2880"/>
          </w:tcPr>
          <w:p>
            <w:r>
              <w:rPr>
                <w:sz w:val="17"/>
              </w:rPr>
            </w:r>
            <w:r>
              <w:rPr>
                <w:sz w:val="17"/>
              </w:rPr>
              <w:t>0,35</w:t>
            </w:r>
          </w:p>
        </w:tc>
      </w:tr>
      <w:tr>
        <w:tc>
          <w:tcPr>
            <w:tcW w:type="dxa" w:w="2880"/>
          </w:tcPr>
          <w:p>
            <w:r>
              <w:rPr>
                <w:sz w:val="17"/>
              </w:rPr>
            </w:r>
            <w:r>
              <w:rPr>
                <w:sz w:val="17"/>
              </w:rPr>
              <w:t>Strategic relationships</w:t>
            </w:r>
          </w:p>
        </w:tc>
        <w:tc>
          <w:tcPr>
            <w:tcW w:type="dxa" w:w="2880"/>
          </w:tcPr>
          <w:p>
            <w:r>
              <w:rPr>
                <w:sz w:val="17"/>
              </w:rPr>
            </w:r>
            <w:r>
              <w:rPr>
                <w:sz w:val="17"/>
              </w:rPr>
              <w:t>0,50</w:t>
            </w:r>
          </w:p>
        </w:tc>
        <w:tc>
          <w:tcPr>
            <w:tcW w:type="dxa" w:w="2880"/>
          </w:tcPr>
          <w:p>
            <w:r>
              <w:rPr>
                <w:sz w:val="17"/>
              </w:rPr>
            </w:r>
            <w:r>
              <w:rPr>
                <w:sz w:val="17"/>
              </w:rPr>
              <w:t>0,40</w:t>
            </w:r>
          </w:p>
        </w:tc>
      </w:tr>
      <w:tr>
        <w:tc>
          <w:tcPr>
            <w:tcW w:type="dxa" w:w="2880"/>
          </w:tcPr>
          <w:p>
            <w:r>
              <w:rPr>
                <w:sz w:val="17"/>
              </w:rPr>
            </w:r>
            <w:r>
              <w:rPr>
                <w:sz w:val="17"/>
              </w:rPr>
              <w:t>Product rollout or sales</w:t>
            </w:r>
          </w:p>
        </w:tc>
        <w:tc>
          <w:tcPr>
            <w:tcW w:type="dxa" w:w="2880"/>
          </w:tcPr>
          <w:p>
            <w:r>
              <w:rPr>
                <w:sz w:val="17"/>
              </w:rPr>
            </w:r>
            <w:r>
              <w:rPr>
                <w:sz w:val="17"/>
              </w:rPr>
              <w:t>0,50</w:t>
            </w:r>
          </w:p>
        </w:tc>
        <w:tc>
          <w:tcPr>
            <w:tcW w:type="dxa" w:w="2880"/>
          </w:tcPr>
          <w:p>
            <w:r>
              <w:rPr>
                <w:sz w:val="17"/>
              </w:rPr>
            </w:r>
            <w:r>
              <w:rPr>
                <w:sz w:val="17"/>
              </w:rPr>
              <w:t>0,30</w:t>
            </w:r>
          </w:p>
        </w:tc>
      </w:tr>
      <w:tr>
        <w:tc>
          <w:tcPr>
            <w:tcW w:type="dxa" w:w="2880"/>
          </w:tcPr>
          <w:p>
            <w:r>
              <w:rPr>
                <w:sz w:val="17"/>
              </w:rPr>
            </w:r>
            <w:r>
              <w:rPr>
                <w:b/>
                <w:sz w:val="17"/>
              </w:rPr>
              <w:t>Σ Berkus</w:t>
            </w:r>
          </w:p>
        </w:tc>
        <w:tc>
          <w:tcPr>
            <w:tcW w:type="dxa" w:w="2880"/>
          </w:tcPr>
          <w:p>
            <w:r>
              <w:rPr>
                <w:sz w:val="17"/>
              </w:rPr>
            </w:r>
            <w:r>
              <w:rPr>
                <w:b/>
                <w:sz w:val="17"/>
              </w:rPr>
              <w:t>2,50</w:t>
            </w:r>
          </w:p>
        </w:tc>
        <w:tc>
          <w:tcPr>
            <w:tcW w:type="dxa" w:w="2880"/>
          </w:tcPr>
          <w:p>
            <w:r>
              <w:rPr>
                <w:sz w:val="17"/>
              </w:rPr>
            </w:r>
            <w:r>
              <w:rPr>
                <w:b/>
                <w:sz w:val="17"/>
              </w:rPr>
              <w:t>2,05</w:t>
            </w:r>
          </w:p>
        </w:tc>
      </w:tr>
    </w:tbl>
    <w:p/>
    <w:p>
      <w:pPr>
        <w:jc w:val="both"/>
      </w:pPr>
      <w:r>
        <w:t>Коэффициент Risk-Adjusted ×17 (российский институциональный масштаб, государственный характер, pilot-light в действующем праве):</w:t>
      </w:r>
    </w:p>
    <w:p>
      <w:pPr>
        <w:jc w:val="both"/>
      </w:pPr>
      <w:r>
        <w:t>(Ф.9.8): Berkus Pre-money = 2,05 · 17 ≈ 35 млн USD ≈ 2,50 млрд ₽.</w:t>
      </w:r>
    </w:p>
    <w:p>
      <w:pPr>
        <w:pStyle w:val="Heading3"/>
      </w:pPr>
      <w:r>
        <w:t>9.9. Replacement Cost (Asset-based)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Раздел</w:t>
            </w:r>
          </w:p>
        </w:tc>
        <w:tc>
          <w:tcPr>
            <w:tcW w:type="dxa" w:w="4320"/>
          </w:tcPr>
          <w:p>
            <w:r>
              <w:rPr>
                <w:b/>
                <w:sz w:val="17"/>
              </w:rPr>
            </w:r>
            <w:r>
              <w:rPr>
                <w:b/>
                <w:sz w:val="17"/>
              </w:rPr>
              <w:t>млн ₽</w:t>
            </w:r>
          </w:p>
        </w:tc>
      </w:tr>
      <w:tr>
        <w:tc>
          <w:tcPr>
            <w:tcW w:type="dxa" w:w="4320"/>
          </w:tcPr>
          <w:p>
            <w:r>
              <w:rPr>
                <w:sz w:val="17"/>
              </w:rPr>
            </w:r>
            <w:r>
              <w:rPr>
                <w:sz w:val="17"/>
              </w:rPr>
              <w:t>Серверная часть (разработка, лицензии, ФСТЭК/ФСБ, юр.сопровождение, OpEx 18 мес.)</w:t>
            </w:r>
          </w:p>
        </w:tc>
        <w:tc>
          <w:tcPr>
            <w:tcW w:type="dxa" w:w="4320"/>
          </w:tcPr>
          <w:p>
            <w:r>
              <w:rPr>
                <w:sz w:val="17"/>
              </w:rPr>
            </w:r>
            <w:r>
              <w:rPr>
                <w:sz w:val="17"/>
              </w:rPr>
              <w:t>645</w:t>
            </w:r>
          </w:p>
        </w:tc>
      </w:tr>
      <w:tr>
        <w:tc>
          <w:tcPr>
            <w:tcW w:type="dxa" w:w="4320"/>
          </w:tcPr>
          <w:p>
            <w:r>
              <w:rPr>
                <w:sz w:val="17"/>
              </w:rPr>
            </w:r>
            <w:r>
              <w:rPr>
                <w:sz w:val="17"/>
              </w:rPr>
              <w:t>Клиентская часть PWA + Capacitor + локализация 4 языка</w:t>
            </w:r>
          </w:p>
        </w:tc>
        <w:tc>
          <w:tcPr>
            <w:tcW w:type="dxa" w:w="4320"/>
          </w:tcPr>
          <w:p>
            <w:r>
              <w:rPr>
                <w:sz w:val="17"/>
              </w:rPr>
            </w:r>
            <w:r>
              <w:rPr>
                <w:sz w:val="17"/>
              </w:rPr>
              <w:t>68</w:t>
            </w:r>
          </w:p>
        </w:tc>
      </w:tr>
      <w:tr>
        <w:tc>
          <w:tcPr>
            <w:tcW w:type="dxa" w:w="4320"/>
          </w:tcPr>
          <w:p>
            <w:r>
              <w:rPr>
                <w:sz w:val="17"/>
              </w:rPr>
            </w:r>
            <w:r>
              <w:rPr>
                <w:sz w:val="17"/>
              </w:rPr>
              <w:t>Конструкторская документация ГОСТ 19 (13 документов)</w:t>
            </w:r>
          </w:p>
        </w:tc>
        <w:tc>
          <w:tcPr>
            <w:tcW w:type="dxa" w:w="4320"/>
          </w:tcPr>
          <w:p>
            <w:r>
              <w:rPr>
                <w:sz w:val="17"/>
              </w:rPr>
            </w:r>
            <w:r>
              <w:rPr>
                <w:sz w:val="17"/>
              </w:rPr>
              <w:t>10</w:t>
            </w:r>
          </w:p>
        </w:tc>
      </w:tr>
      <w:tr>
        <w:tc>
          <w:tcPr>
            <w:tcW w:type="dxa" w:w="4320"/>
          </w:tcPr>
          <w:p>
            <w:r>
              <w:rPr>
                <w:sz w:val="17"/>
              </w:rPr>
            </w:r>
            <w:r>
              <w:rPr>
                <w:sz w:val="17"/>
              </w:rPr>
              <w:t>Публикационный пакет RuStore</w:t>
            </w:r>
          </w:p>
        </w:tc>
        <w:tc>
          <w:tcPr>
            <w:tcW w:type="dxa" w:w="4320"/>
          </w:tcPr>
          <w:p>
            <w:r>
              <w:rPr>
                <w:sz w:val="17"/>
              </w:rPr>
            </w:r>
            <w:r>
              <w:rPr>
                <w:sz w:val="17"/>
              </w:rPr>
              <w:t>6</w:t>
            </w:r>
          </w:p>
        </w:tc>
      </w:tr>
      <w:tr>
        <w:tc>
          <w:tcPr>
            <w:tcW w:type="dxa" w:w="4320"/>
          </w:tcPr>
          <w:p>
            <w:r>
              <w:rPr>
                <w:sz w:val="17"/>
              </w:rPr>
            </w:r>
            <w:r>
              <w:rPr>
                <w:sz w:val="17"/>
              </w:rPr>
              <w:t>Маркетинговые материалы</w:t>
            </w:r>
          </w:p>
        </w:tc>
        <w:tc>
          <w:tcPr>
            <w:tcW w:type="dxa" w:w="4320"/>
          </w:tcPr>
          <w:p>
            <w:r>
              <w:rPr>
                <w:sz w:val="17"/>
              </w:rPr>
            </w:r>
            <w:r>
              <w:rPr>
                <w:sz w:val="17"/>
              </w:rPr>
              <w:t>22</w:t>
            </w:r>
          </w:p>
        </w:tc>
      </w:tr>
      <w:tr>
        <w:tc>
          <w:tcPr>
            <w:tcW w:type="dxa" w:w="4320"/>
          </w:tcPr>
          <w:p>
            <w:r>
              <w:rPr>
                <w:sz w:val="17"/>
              </w:rPr>
            </w:r>
            <w:r>
              <w:rPr>
                <w:sz w:val="17"/>
              </w:rPr>
              <w:t>Брендинг (бренд-бук, дизайн-система)</w:t>
            </w:r>
          </w:p>
        </w:tc>
        <w:tc>
          <w:tcPr>
            <w:tcW w:type="dxa" w:w="4320"/>
          </w:tcPr>
          <w:p>
            <w:r>
              <w:rPr>
                <w:sz w:val="17"/>
              </w:rPr>
            </w:r>
            <w:r>
              <w:rPr>
                <w:sz w:val="17"/>
              </w:rPr>
              <w:t>12</w:t>
            </w:r>
          </w:p>
        </w:tc>
      </w:tr>
      <w:tr>
        <w:tc>
          <w:tcPr>
            <w:tcW w:type="dxa" w:w="4320"/>
          </w:tcPr>
          <w:p>
            <w:r>
              <w:rPr>
                <w:sz w:val="17"/>
              </w:rPr>
            </w:r>
            <w:r>
              <w:rPr>
                <w:sz w:val="17"/>
              </w:rPr>
              <w:t>Оценка, DD-аудит, экспертное заключение, сводный аудит</w:t>
            </w:r>
          </w:p>
        </w:tc>
        <w:tc>
          <w:tcPr>
            <w:tcW w:type="dxa" w:w="4320"/>
          </w:tcPr>
          <w:p>
            <w:r>
              <w:rPr>
                <w:sz w:val="17"/>
              </w:rPr>
            </w:r>
            <w:r>
              <w:rPr>
                <w:sz w:val="17"/>
              </w:rPr>
              <w:t>22</w:t>
            </w:r>
          </w:p>
        </w:tc>
      </w:tr>
      <w:tr>
        <w:tc>
          <w:tcPr>
            <w:tcW w:type="dxa" w:w="4320"/>
          </w:tcPr>
          <w:p>
            <w:r>
              <w:rPr>
                <w:sz w:val="17"/>
              </w:rPr>
            </w:r>
            <w:r>
              <w:rPr>
                <w:sz w:val="17"/>
              </w:rPr>
              <w:t>Финмодель, бизнес-план, wedge-документ</w:t>
            </w:r>
          </w:p>
        </w:tc>
        <w:tc>
          <w:tcPr>
            <w:tcW w:type="dxa" w:w="4320"/>
          </w:tcPr>
          <w:p>
            <w:r>
              <w:rPr>
                <w:sz w:val="17"/>
              </w:rPr>
            </w:r>
            <w:r>
              <w:rPr>
                <w:sz w:val="17"/>
              </w:rPr>
              <w:t>12</w:t>
            </w:r>
          </w:p>
        </w:tc>
      </w:tr>
      <w:tr>
        <w:tc>
          <w:tcPr>
            <w:tcW w:type="dxa" w:w="4320"/>
          </w:tcPr>
          <w:p>
            <w:r>
              <w:rPr>
                <w:sz w:val="17"/>
              </w:rPr>
            </w:r>
            <w:r>
              <w:rPr>
                <w:sz w:val="17"/>
              </w:rPr>
              <w:t>Юридический фундамент + проектный устав АО-оператора</w:t>
            </w:r>
          </w:p>
        </w:tc>
        <w:tc>
          <w:tcPr>
            <w:tcW w:type="dxa" w:w="4320"/>
          </w:tcPr>
          <w:p>
            <w:r>
              <w:rPr>
                <w:sz w:val="17"/>
              </w:rPr>
            </w:r>
            <w:r>
              <w:rPr>
                <w:sz w:val="17"/>
              </w:rPr>
              <w:t>18</w:t>
            </w:r>
          </w:p>
        </w:tc>
      </w:tr>
      <w:tr>
        <w:tc>
          <w:tcPr>
            <w:tcW w:type="dxa" w:w="4320"/>
          </w:tcPr>
          <w:p>
            <w:r>
              <w:rPr>
                <w:sz w:val="17"/>
              </w:rPr>
            </w:r>
            <w:r>
              <w:rPr>
                <w:b/>
                <w:sz w:val="17"/>
              </w:rPr>
              <w:t>Итого воспроизводство (без премии за IP)</w:t>
            </w:r>
          </w:p>
        </w:tc>
        <w:tc>
          <w:tcPr>
            <w:tcW w:type="dxa" w:w="4320"/>
          </w:tcPr>
          <w:p>
            <w:r>
              <w:rPr>
                <w:sz w:val="17"/>
              </w:rPr>
            </w:r>
            <w:r>
              <w:rPr>
                <w:b/>
                <w:sz w:val="17"/>
              </w:rPr>
              <w:t>815</w:t>
            </w:r>
          </w:p>
        </w:tc>
      </w:tr>
    </w:tbl>
    <w:p/>
    <w:p>
      <w:pPr>
        <w:jc w:val="both"/>
      </w:pPr>
      <w:r>
        <w:t>Премия за защищённый IP (×1,75):</w:t>
      </w:r>
    </w:p>
    <w:p>
      <w:pPr>
        <w:jc w:val="both"/>
      </w:pPr>
      <w:r>
        <w:t>(Ф.9.9): Asset Pre-money = 815 · 1,75 / 71,55 ≈ 20 млн USD ≈ 1,43 млрд ₽.</w:t>
      </w:r>
    </w:p>
    <w:p>
      <w:pPr>
        <w:pStyle w:val="Heading2"/>
      </w:pPr>
      <w:r>
        <w:t>10. Согласование результатов (Reconciliation)</w:t>
      </w:r>
    </w:p>
    <w:p>
      <w:pPr>
        <w:jc w:val="both"/>
      </w:pPr>
      <w:r>
        <w:t>Все четыре величины ниже уже учитывают стадию проекта: доходный подход — через скидку 60% (§ 9.6), сравнительный — через коэффициент 0,184 (§ 9.7), подходы Беркуса и восстановительной стоимости оценивают проект как есть. Поэтому свёртка выполняется без дополнительного дисконтирования.</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Подход</w:t>
            </w:r>
          </w:p>
        </w:tc>
        <w:tc>
          <w:tcPr>
            <w:tcW w:type="dxa" w:w="1728"/>
          </w:tcPr>
          <w:p>
            <w:r>
              <w:rPr>
                <w:b/>
                <w:sz w:val="17"/>
              </w:rPr>
            </w:r>
            <w:r>
              <w:rPr>
                <w:b/>
                <w:sz w:val="17"/>
              </w:rPr>
              <w:t>Pre-money, $ млн</w:t>
            </w:r>
          </w:p>
        </w:tc>
        <w:tc>
          <w:tcPr>
            <w:tcW w:type="dxa" w:w="1728"/>
          </w:tcPr>
          <w:p>
            <w:r>
              <w:rPr>
                <w:b/>
                <w:sz w:val="17"/>
              </w:rPr>
            </w:r>
            <w:r>
              <w:rPr>
                <w:b/>
                <w:sz w:val="17"/>
              </w:rPr>
              <w:t>Pre-money, млрд ₽</w:t>
            </w:r>
          </w:p>
        </w:tc>
        <w:tc>
          <w:tcPr>
            <w:tcW w:type="dxa" w:w="1728"/>
          </w:tcPr>
          <w:p>
            <w:r>
              <w:rPr>
                <w:b/>
                <w:sz w:val="17"/>
              </w:rPr>
            </w:r>
            <w:r>
              <w:rPr>
                <w:b/>
                <w:sz w:val="17"/>
              </w:rPr>
              <w:t>Вес</w:t>
            </w:r>
          </w:p>
        </w:tc>
        <w:tc>
          <w:tcPr>
            <w:tcW w:type="dxa" w:w="1728"/>
          </w:tcPr>
          <w:p>
            <w:r>
              <w:rPr>
                <w:b/>
                <w:sz w:val="17"/>
              </w:rPr>
            </w:r>
            <w:r>
              <w:rPr>
                <w:b/>
                <w:sz w:val="17"/>
              </w:rPr>
              <w:t>Вклад, $ млн</w:t>
            </w:r>
          </w:p>
        </w:tc>
      </w:tr>
      <w:tr>
        <w:tc>
          <w:tcPr>
            <w:tcW w:type="dxa" w:w="1728"/>
          </w:tcPr>
          <w:p>
            <w:r>
              <w:rPr>
                <w:sz w:val="17"/>
              </w:rPr>
            </w:r>
            <w:r>
              <w:rPr>
                <w:sz w:val="17"/>
              </w:rPr>
              <w:t>Доходный (DCF)</w:t>
            </w:r>
          </w:p>
        </w:tc>
        <w:tc>
          <w:tcPr>
            <w:tcW w:type="dxa" w:w="1728"/>
          </w:tcPr>
          <w:p>
            <w:r>
              <w:rPr>
                <w:sz w:val="17"/>
              </w:rPr>
            </w:r>
            <w:r>
              <w:rPr>
                <w:sz w:val="17"/>
              </w:rPr>
              <w:t>352</w:t>
            </w:r>
          </w:p>
        </w:tc>
        <w:tc>
          <w:tcPr>
            <w:tcW w:type="dxa" w:w="1728"/>
          </w:tcPr>
          <w:p>
            <w:r>
              <w:rPr>
                <w:sz w:val="17"/>
              </w:rPr>
            </w:r>
            <w:r>
              <w:rPr>
                <w:sz w:val="17"/>
              </w:rPr>
              <w:t>25,19</w:t>
            </w:r>
          </w:p>
        </w:tc>
        <w:tc>
          <w:tcPr>
            <w:tcW w:type="dxa" w:w="1728"/>
          </w:tcPr>
          <w:p>
            <w:r>
              <w:rPr>
                <w:sz w:val="17"/>
              </w:rPr>
            </w:r>
            <w:r>
              <w:rPr>
                <w:sz w:val="17"/>
              </w:rPr>
              <w:t>35%</w:t>
            </w:r>
          </w:p>
        </w:tc>
        <w:tc>
          <w:tcPr>
            <w:tcW w:type="dxa" w:w="1728"/>
          </w:tcPr>
          <w:p>
            <w:r>
              <w:rPr>
                <w:sz w:val="17"/>
              </w:rPr>
            </w:r>
            <w:r>
              <w:rPr>
                <w:sz w:val="17"/>
              </w:rPr>
              <w:t>123,2</w:t>
            </w:r>
          </w:p>
        </w:tc>
      </w:tr>
      <w:tr>
        <w:tc>
          <w:tcPr>
            <w:tcW w:type="dxa" w:w="1728"/>
          </w:tcPr>
          <w:p>
            <w:r>
              <w:rPr>
                <w:sz w:val="17"/>
              </w:rPr>
            </w:r>
            <w:r>
              <w:rPr>
                <w:sz w:val="17"/>
              </w:rPr>
              <w:t>Сравнительный (мультипликаторы)</w:t>
            </w:r>
          </w:p>
        </w:tc>
        <w:tc>
          <w:tcPr>
            <w:tcW w:type="dxa" w:w="1728"/>
          </w:tcPr>
          <w:p>
            <w:r>
              <w:rPr>
                <w:sz w:val="17"/>
              </w:rPr>
            </w:r>
            <w:r>
              <w:rPr>
                <w:sz w:val="17"/>
              </w:rPr>
              <w:t>380</w:t>
            </w:r>
          </w:p>
        </w:tc>
        <w:tc>
          <w:tcPr>
            <w:tcW w:type="dxa" w:w="1728"/>
          </w:tcPr>
          <w:p>
            <w:r>
              <w:rPr>
                <w:sz w:val="17"/>
              </w:rPr>
            </w:r>
            <w:r>
              <w:rPr>
                <w:sz w:val="17"/>
              </w:rPr>
              <w:t>27,19</w:t>
            </w:r>
          </w:p>
        </w:tc>
        <w:tc>
          <w:tcPr>
            <w:tcW w:type="dxa" w:w="1728"/>
          </w:tcPr>
          <w:p>
            <w:r>
              <w:rPr>
                <w:sz w:val="17"/>
              </w:rPr>
            </w:r>
            <w:r>
              <w:rPr>
                <w:sz w:val="17"/>
              </w:rPr>
              <w:t>30%</w:t>
            </w:r>
          </w:p>
        </w:tc>
        <w:tc>
          <w:tcPr>
            <w:tcW w:type="dxa" w:w="1728"/>
          </w:tcPr>
          <w:p>
            <w:r>
              <w:rPr>
                <w:sz w:val="17"/>
              </w:rPr>
            </w:r>
            <w:r>
              <w:rPr>
                <w:sz w:val="17"/>
              </w:rPr>
              <w:t>114,0</w:t>
            </w:r>
          </w:p>
        </w:tc>
      </w:tr>
      <w:tr>
        <w:tc>
          <w:tcPr>
            <w:tcW w:type="dxa" w:w="1728"/>
          </w:tcPr>
          <w:p>
            <w:r>
              <w:rPr>
                <w:sz w:val="17"/>
              </w:rPr>
            </w:r>
            <w:r>
              <w:rPr>
                <w:sz w:val="17"/>
              </w:rPr>
              <w:t>Скорректированный Беркус</w:t>
            </w:r>
          </w:p>
        </w:tc>
        <w:tc>
          <w:tcPr>
            <w:tcW w:type="dxa" w:w="1728"/>
          </w:tcPr>
          <w:p>
            <w:r>
              <w:rPr>
                <w:sz w:val="17"/>
              </w:rPr>
            </w:r>
            <w:r>
              <w:rPr>
                <w:sz w:val="17"/>
              </w:rPr>
              <w:t>35</w:t>
            </w:r>
          </w:p>
        </w:tc>
        <w:tc>
          <w:tcPr>
            <w:tcW w:type="dxa" w:w="1728"/>
          </w:tcPr>
          <w:p>
            <w:r>
              <w:rPr>
                <w:sz w:val="17"/>
              </w:rPr>
            </w:r>
            <w:r>
              <w:rPr>
                <w:sz w:val="17"/>
              </w:rPr>
              <w:t>2,50</w:t>
            </w:r>
          </w:p>
        </w:tc>
        <w:tc>
          <w:tcPr>
            <w:tcW w:type="dxa" w:w="1728"/>
          </w:tcPr>
          <w:p>
            <w:r>
              <w:rPr>
                <w:sz w:val="17"/>
              </w:rPr>
            </w:r>
            <w:r>
              <w:rPr>
                <w:sz w:val="17"/>
              </w:rPr>
              <w:t>25%</w:t>
            </w:r>
          </w:p>
        </w:tc>
        <w:tc>
          <w:tcPr>
            <w:tcW w:type="dxa" w:w="1728"/>
          </w:tcPr>
          <w:p>
            <w:r>
              <w:rPr>
                <w:sz w:val="17"/>
              </w:rPr>
            </w:r>
            <w:r>
              <w:rPr>
                <w:sz w:val="17"/>
              </w:rPr>
              <w:t>8,8</w:t>
            </w:r>
          </w:p>
        </w:tc>
      </w:tr>
      <w:tr>
        <w:tc>
          <w:tcPr>
            <w:tcW w:type="dxa" w:w="1728"/>
          </w:tcPr>
          <w:p>
            <w:r>
              <w:rPr>
                <w:sz w:val="17"/>
              </w:rPr>
            </w:r>
            <w:r>
              <w:rPr>
                <w:sz w:val="17"/>
              </w:rPr>
              <w:t>Затратный (восстановительная стоимость)</w:t>
            </w:r>
          </w:p>
        </w:tc>
        <w:tc>
          <w:tcPr>
            <w:tcW w:type="dxa" w:w="1728"/>
          </w:tcPr>
          <w:p>
            <w:r>
              <w:rPr>
                <w:sz w:val="17"/>
              </w:rPr>
            </w:r>
            <w:r>
              <w:rPr>
                <w:sz w:val="17"/>
              </w:rPr>
              <w:t>20</w:t>
            </w:r>
          </w:p>
        </w:tc>
        <w:tc>
          <w:tcPr>
            <w:tcW w:type="dxa" w:w="1728"/>
          </w:tcPr>
          <w:p>
            <w:r>
              <w:rPr>
                <w:sz w:val="17"/>
              </w:rPr>
            </w:r>
            <w:r>
              <w:rPr>
                <w:sz w:val="17"/>
              </w:rPr>
              <w:t>1,43</w:t>
            </w:r>
          </w:p>
        </w:tc>
        <w:tc>
          <w:tcPr>
            <w:tcW w:type="dxa" w:w="1728"/>
          </w:tcPr>
          <w:p>
            <w:r>
              <w:rPr>
                <w:sz w:val="17"/>
              </w:rPr>
            </w:r>
            <w:r>
              <w:rPr>
                <w:sz w:val="17"/>
              </w:rPr>
              <w:t>10%</w:t>
            </w:r>
          </w:p>
        </w:tc>
        <w:tc>
          <w:tcPr>
            <w:tcW w:type="dxa" w:w="1728"/>
          </w:tcPr>
          <w:p>
            <w:r>
              <w:rPr>
                <w:sz w:val="17"/>
              </w:rPr>
            </w:r>
            <w:r>
              <w:rPr>
                <w:sz w:val="17"/>
              </w:rPr>
              <w:t>2,0</w:t>
            </w:r>
          </w:p>
        </w:tc>
      </w:tr>
      <w:tr>
        <w:tc>
          <w:tcPr>
            <w:tcW w:type="dxa" w:w="1728"/>
          </w:tcPr>
          <w:p>
            <w:r>
              <w:rPr>
                <w:sz w:val="17"/>
              </w:rPr>
            </w:r>
            <w:r>
              <w:rPr>
                <w:b/>
                <w:sz w:val="17"/>
              </w:rPr>
              <w:t>Расчётная стоимость входа</w:t>
            </w:r>
          </w:p>
        </w:tc>
        <w:tc>
          <w:tcPr>
            <w:tcW w:type="dxa" w:w="1728"/>
          </w:tcPr>
          <w:p>
            <w:r>
              <w:rPr>
                <w:sz w:val="17"/>
              </w:rPr>
            </w:r>
            <w:r>
              <w:rPr>
                <w:b/>
                <w:sz w:val="17"/>
              </w:rPr>
              <w:t>248</w:t>
            </w:r>
          </w:p>
        </w:tc>
        <w:tc>
          <w:tcPr>
            <w:tcW w:type="dxa" w:w="1728"/>
          </w:tcPr>
          <w:p>
            <w:r>
              <w:rPr>
                <w:sz w:val="17"/>
              </w:rPr>
            </w:r>
            <w:r>
              <w:rPr>
                <w:b/>
                <w:sz w:val="17"/>
              </w:rPr>
              <w:t>17,74</w:t>
            </w:r>
          </w:p>
        </w:tc>
        <w:tc>
          <w:tcPr>
            <w:tcW w:type="dxa" w:w="1728"/>
          </w:tcPr>
          <w:p>
            <w:r>
              <w:rPr>
                <w:sz w:val="17"/>
              </w:rPr>
            </w:r>
            <w:r>
              <w:rPr>
                <w:b/>
                <w:sz w:val="17"/>
              </w:rPr>
              <w:t>100%</w:t>
            </w:r>
          </w:p>
        </w:tc>
        <w:tc>
          <w:tcPr>
            <w:tcW w:type="dxa" w:w="1728"/>
          </w:tcPr>
          <w:p>
            <w:r>
              <w:rPr>
                <w:sz w:val="17"/>
              </w:rPr>
            </w:r>
            <w:r>
              <w:rPr>
                <w:b/>
                <w:sz w:val="17"/>
              </w:rPr>
              <w:t>248</w:t>
            </w:r>
          </w:p>
        </w:tc>
      </w:tr>
    </w:tbl>
    <w:p/>
    <w:p>
      <w:pPr>
        <w:ind w:left="360"/>
      </w:pPr>
      <w:r>
        <w:rPr>
          <w:b/>
          <w:i/>
          <w:color w:val="444444"/>
        </w:rPr>
        <w:t>Что здесь важно понимать.</w:t>
      </w:r>
      <w:r>
        <w:rPr>
          <w:i/>
          <w:color w:val="444444"/>
        </w:rPr>
        <w:t xml:space="preserve"> Разброс между подходами — двенадцатикратный: от 20 до 352 млн USD. Такой разброс означает, что взвешенная величина сама по себе малоинформативна. 65% веса приходится на подходы, оценивающие уже работающий бизнес, а подходы, специально предназначенные для ранней стадии, дают 20–35 млн USD. Расчётные 248 млн USD — верхняя граница обоснуемого, а не рыночная цена. Решение о переговорной цене входа принимает собственник проекта.</w:t>
      </w:r>
    </w:p>
    <w:p>
      <w:pPr>
        <w:pStyle w:val="Heading2"/>
      </w:pPr>
      <w:r>
        <w:t>11. Итоговая стоимость</w:t>
      </w:r>
    </w:p>
    <w:p>
      <w:pPr>
        <w:pStyle w:val="Heading3"/>
      </w:pPr>
      <w:r>
        <w:t>Final Opinion</w:t>
      </w:r>
    </w:p>
    <w:p>
      <w:pPr>
        <w:jc w:val="both"/>
      </w:pPr>
      <w:r>
        <w:t xml:space="preserve">Расчётная стоимость 100% долевого участия в проектной компании-операторе ЦПФСР на дату оценки </w:t>
      </w:r>
      <w:r>
        <w:rPr>
          <w:b/>
        </w:rPr>
        <w:t>31 декабря 2026</w:t>
      </w:r>
      <w:r>
        <w:t xml:space="preserve"> при базе </w:t>
      </w:r>
      <w:r>
        <w:rPr>
          <w:b/>
        </w:rPr>
        <w:t>Fair Value (IFRS 13) / Market Value (IVS 104)</w:t>
      </w:r>
      <w:r>
        <w:t xml:space="preserve">, премиссе </w:t>
      </w:r>
      <w:r>
        <w:rPr>
          <w:b/>
        </w:rPr>
        <w:t>Going Concern</w:t>
      </w:r>
      <w:r>
        <w:t>, на стадии готовности «прототип; лицензия оператора информационной системы не получена, нормативная база не принята», составляет:</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Граница</w:t>
            </w:r>
          </w:p>
        </w:tc>
        <w:tc>
          <w:tcPr>
            <w:tcW w:type="dxa" w:w="2880"/>
          </w:tcPr>
          <w:p>
            <w:r>
              <w:rPr>
                <w:b/>
                <w:sz w:val="17"/>
              </w:rPr>
            </w:r>
            <w:r>
              <w:rPr>
                <w:b/>
                <w:sz w:val="17"/>
              </w:rPr>
              <w:t>RUB</w:t>
            </w:r>
          </w:p>
        </w:tc>
        <w:tc>
          <w:tcPr>
            <w:tcW w:type="dxa" w:w="2880"/>
          </w:tcPr>
          <w:p>
            <w:r>
              <w:rPr>
                <w:b/>
                <w:sz w:val="17"/>
              </w:rPr>
            </w:r>
            <w:r>
              <w:rPr>
                <w:b/>
                <w:sz w:val="17"/>
              </w:rPr>
              <w:t>USD</w:t>
            </w:r>
          </w:p>
        </w:tc>
      </w:tr>
      <w:tr>
        <w:tc>
          <w:tcPr>
            <w:tcW w:type="dxa" w:w="2880"/>
          </w:tcPr>
          <w:p>
            <w:r>
              <w:rPr>
                <w:sz w:val="17"/>
              </w:rPr>
            </w:r>
            <w:r>
              <w:rPr>
                <w:sz w:val="17"/>
              </w:rPr>
              <w:t>Нижняя (консервативный сценарий, доля рынка 7%)</w:t>
            </w:r>
          </w:p>
        </w:tc>
        <w:tc>
          <w:tcPr>
            <w:tcW w:type="dxa" w:w="2880"/>
          </w:tcPr>
          <w:p>
            <w:r>
              <w:rPr>
                <w:sz w:val="17"/>
              </w:rPr>
            </w:r>
            <w:r>
              <w:rPr>
                <w:sz w:val="17"/>
              </w:rPr>
              <w:t>11,74 млрд ₽</w:t>
            </w:r>
          </w:p>
        </w:tc>
        <w:tc>
          <w:tcPr>
            <w:tcW w:type="dxa" w:w="2880"/>
          </w:tcPr>
          <w:p>
            <w:r>
              <w:rPr>
                <w:sz w:val="17"/>
              </w:rPr>
            </w:r>
            <w:r>
              <w:rPr>
                <w:sz w:val="17"/>
              </w:rPr>
              <w:t>164 млн USD</w:t>
            </w:r>
          </w:p>
        </w:tc>
      </w:tr>
      <w:tr>
        <w:tc>
          <w:tcPr>
            <w:tcW w:type="dxa" w:w="2880"/>
          </w:tcPr>
          <w:p>
            <w:r>
              <w:rPr>
                <w:sz w:val="17"/>
              </w:rPr>
            </w:r>
            <w:r>
              <w:rPr>
                <w:b/>
                <w:sz w:val="17"/>
              </w:rPr>
              <w:t>Расчётная база (доля рынка 18%)</w:t>
            </w:r>
          </w:p>
        </w:tc>
        <w:tc>
          <w:tcPr>
            <w:tcW w:type="dxa" w:w="2880"/>
          </w:tcPr>
          <w:p>
            <w:r>
              <w:rPr>
                <w:sz w:val="17"/>
              </w:rPr>
            </w:r>
            <w:r>
              <w:rPr>
                <w:b/>
                <w:sz w:val="17"/>
              </w:rPr>
              <w:t>17,74 млрд ₽</w:t>
            </w:r>
          </w:p>
        </w:tc>
        <w:tc>
          <w:tcPr>
            <w:tcW w:type="dxa" w:w="2880"/>
          </w:tcPr>
          <w:p>
            <w:r>
              <w:rPr>
                <w:sz w:val="17"/>
              </w:rPr>
            </w:r>
            <w:r>
              <w:rPr>
                <w:b/>
                <w:sz w:val="17"/>
              </w:rPr>
              <w:t>248 млн USD</w:t>
            </w:r>
          </w:p>
        </w:tc>
      </w:tr>
      <w:tr>
        <w:tc>
          <w:tcPr>
            <w:tcW w:type="dxa" w:w="2880"/>
          </w:tcPr>
          <w:p>
            <w:r>
              <w:rPr>
                <w:sz w:val="17"/>
              </w:rPr>
            </w:r>
            <w:r>
              <w:rPr>
                <w:sz w:val="17"/>
              </w:rPr>
              <w:t>Верхняя (оптимистичный сценарий, доля рынка 25%)</w:t>
            </w:r>
          </w:p>
        </w:tc>
        <w:tc>
          <w:tcPr>
            <w:tcW w:type="dxa" w:w="2880"/>
          </w:tcPr>
          <w:p>
            <w:r>
              <w:rPr>
                <w:sz w:val="17"/>
              </w:rPr>
            </w:r>
            <w:r>
              <w:rPr>
                <w:sz w:val="17"/>
              </w:rPr>
              <w:t>21,56 млрд ₽</w:t>
            </w:r>
          </w:p>
        </w:tc>
        <w:tc>
          <w:tcPr>
            <w:tcW w:type="dxa" w:w="2880"/>
          </w:tcPr>
          <w:p>
            <w:r>
              <w:rPr>
                <w:sz w:val="17"/>
              </w:rPr>
            </w:r>
            <w:r>
              <w:rPr>
                <w:sz w:val="17"/>
              </w:rPr>
              <w:t>301 млн USD</w:t>
            </w:r>
          </w:p>
        </w:tc>
      </w:tr>
    </w:tbl>
    <w:p/>
    <w:p>
      <w:pPr>
        <w:jc w:val="both"/>
      </w:pPr>
      <w:r>
        <w:rPr>
          <w:b/>
        </w:rPr>
        <w:t>Цифрами и прописью (расчётная база, RUB):</w:t>
      </w:r>
      <w:r>
        <w:t xml:space="preserve"> 17 740 000 000 (Семнадцать миллиардов семьсот сорок миллионов) рублей 00 копеек. </w:t>
      </w:r>
      <w:r>
        <w:rPr>
          <w:b/>
        </w:rPr>
        <w:t>В долларах США:</w:t>
      </w:r>
      <w:r>
        <w:t xml:space="preserve"> 248 000 000 USD (Two hundred forty-eight million US dollars 00/100).</w:t>
      </w:r>
    </w:p>
    <w:p>
      <w:pPr>
        <w:ind w:left="360"/>
      </w:pPr>
      <w:r>
        <w:rPr>
          <w:b/>
          <w:i/>
          <w:color w:val="444444"/>
        </w:rPr>
        <w:t>Обязательная оговорка.</w:t>
      </w:r>
      <w:r>
        <w:rPr>
          <w:i/>
          <w:color w:val="444444"/>
        </w:rPr>
        <w:t xml:space="preserve"> Величина получена свёрткой четырёх подходов с разбросом в двенадцать раз и опирается на траекторию доли рынка, не подтверждённую ни пилотом, ни договорами. Подходы, предназначенные для ранней стадии, дают 20–35 млн USD. Диапазон сжат тем, что сравнительный подход не пересчитывается по сценариям (§ 9.7). Величина расчётная, а не рыночная: сделок по проекту не совершалось.</w:t>
      </w:r>
    </w:p>
    <w:p>
      <w:pPr>
        <w:pStyle w:val="Heading3"/>
      </w:pPr>
      <w:r>
        <w:t>11.1. Рекомендуемая структура сделки Series 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Показатель</w:t>
            </w:r>
          </w:p>
        </w:tc>
        <w:tc>
          <w:tcPr>
            <w:tcW w:type="dxa" w:w="4320"/>
          </w:tcPr>
          <w:p>
            <w:r>
              <w:rPr>
                <w:b/>
                <w:sz w:val="17"/>
              </w:rPr>
            </w:r>
            <w:r>
              <w:rPr>
                <w:b/>
                <w:sz w:val="17"/>
              </w:rPr>
              <w:t>Значение</w:t>
            </w:r>
          </w:p>
        </w:tc>
      </w:tr>
      <w:tr>
        <w:tc>
          <w:tcPr>
            <w:tcW w:type="dxa" w:w="4320"/>
          </w:tcPr>
          <w:p>
            <w:r>
              <w:rPr>
                <w:sz w:val="17"/>
              </w:rPr>
            </w:r>
            <w:r>
              <w:rPr>
                <w:sz w:val="17"/>
              </w:rPr>
              <w:t>Pre-money (расчётная база)</w:t>
            </w:r>
          </w:p>
        </w:tc>
        <w:tc>
          <w:tcPr>
            <w:tcW w:type="dxa" w:w="4320"/>
          </w:tcPr>
          <w:p>
            <w:r>
              <w:rPr>
                <w:sz w:val="17"/>
              </w:rPr>
            </w:r>
            <w:r>
              <w:rPr>
                <w:sz w:val="17"/>
              </w:rPr>
              <w:t>248,0 млн USD (17,74 млрд ₽)</w:t>
            </w:r>
          </w:p>
        </w:tc>
      </w:tr>
      <w:tr>
        <w:tc>
          <w:tcPr>
            <w:tcW w:type="dxa" w:w="4320"/>
          </w:tcPr>
          <w:p>
            <w:r>
              <w:rPr>
                <w:sz w:val="17"/>
              </w:rPr>
            </w:r>
            <w:r>
              <w:rPr>
                <w:sz w:val="17"/>
              </w:rPr>
              <w:t>Раунд</w:t>
            </w:r>
          </w:p>
        </w:tc>
        <w:tc>
          <w:tcPr>
            <w:tcW w:type="dxa" w:w="4320"/>
          </w:tcPr>
          <w:p>
            <w:r>
              <w:rPr>
                <w:sz w:val="17"/>
              </w:rPr>
            </w:r>
            <w:r>
              <w:rPr>
                <w:sz w:val="17"/>
              </w:rPr>
              <w:t>25,2 млн USD (1,8 млрд ₽)</w:t>
            </w:r>
          </w:p>
        </w:tc>
      </w:tr>
      <w:tr>
        <w:tc>
          <w:tcPr>
            <w:tcW w:type="dxa" w:w="4320"/>
          </w:tcPr>
          <w:p>
            <w:r>
              <w:rPr>
                <w:sz w:val="17"/>
              </w:rPr>
            </w:r>
            <w:r>
              <w:rPr>
                <w:sz w:val="17"/>
              </w:rPr>
              <w:t>Post-money</w:t>
            </w:r>
          </w:p>
        </w:tc>
        <w:tc>
          <w:tcPr>
            <w:tcW w:type="dxa" w:w="4320"/>
          </w:tcPr>
          <w:p>
            <w:r>
              <w:rPr>
                <w:sz w:val="17"/>
              </w:rPr>
            </w:r>
            <w:r>
              <w:rPr>
                <w:sz w:val="17"/>
              </w:rPr>
              <w:t>273,2 млн USD (19,54 млрд ₽)</w:t>
            </w:r>
          </w:p>
        </w:tc>
      </w:tr>
      <w:tr>
        <w:tc>
          <w:tcPr>
            <w:tcW w:type="dxa" w:w="4320"/>
          </w:tcPr>
          <w:p>
            <w:r>
              <w:rPr>
                <w:sz w:val="17"/>
              </w:rPr>
            </w:r>
            <w:r>
              <w:rPr>
                <w:sz w:val="17"/>
              </w:rPr>
              <w:t>Доля инвестора</w:t>
            </w:r>
          </w:p>
        </w:tc>
        <w:tc>
          <w:tcPr>
            <w:tcW w:type="dxa" w:w="4320"/>
          </w:tcPr>
          <w:p>
            <w:r>
              <w:rPr>
                <w:sz w:val="17"/>
              </w:rPr>
            </w:r>
            <w:r>
              <w:rPr>
                <w:sz w:val="17"/>
              </w:rPr>
              <w:t>9,21%</w:t>
            </w:r>
          </w:p>
        </w:tc>
      </w:tr>
      <w:tr>
        <w:tc>
          <w:tcPr>
            <w:tcW w:type="dxa" w:w="4320"/>
          </w:tcPr>
          <w:p>
            <w:r>
              <w:rPr>
                <w:sz w:val="17"/>
              </w:rPr>
            </w:r>
            <w:r>
              <w:rPr>
                <w:sz w:val="17"/>
              </w:rPr>
              <w:t>Резерв опционной программы (рекомендация)</w:t>
            </w:r>
          </w:p>
        </w:tc>
        <w:tc>
          <w:tcPr>
            <w:tcW w:type="dxa" w:w="4320"/>
          </w:tcPr>
          <w:p>
            <w:r>
              <w:rPr>
                <w:sz w:val="17"/>
              </w:rPr>
            </w:r>
            <w:r>
              <w:rPr>
                <w:sz w:val="17"/>
              </w:rPr>
              <w:t>10% (после раунда)</w:t>
            </w:r>
          </w:p>
        </w:tc>
      </w:tr>
      <w:tr>
        <w:tc>
          <w:tcPr>
            <w:tcW w:type="dxa" w:w="4320"/>
          </w:tcPr>
          <w:p>
            <w:r>
              <w:rPr>
                <w:sz w:val="17"/>
              </w:rPr>
            </w:r>
            <w:r>
              <w:rPr>
                <w:sz w:val="17"/>
              </w:rPr>
              <w:t>Совет директоров</w:t>
            </w:r>
          </w:p>
        </w:tc>
        <w:tc>
          <w:tcPr>
            <w:tcW w:type="dxa" w:w="4320"/>
          </w:tcPr>
          <w:p>
            <w:r>
              <w:rPr>
                <w:sz w:val="17"/>
              </w:rPr>
            </w:r>
            <w:r>
              <w:rPr>
                <w:sz w:val="17"/>
              </w:rPr>
              <w:t>3/5 независимых</w:t>
            </w:r>
          </w:p>
        </w:tc>
      </w:tr>
    </w:tbl>
    <w:p/>
    <w:p>
      <w:pPr>
        <w:ind w:left="360"/>
      </w:pPr>
      <w:r>
        <w:rPr>
          <w:b/>
          <w:i/>
          <w:color w:val="444444"/>
        </w:rPr>
        <w:t>Раунд покрывает расчётную потребность.</w:t>
      </w:r>
      <w:r>
        <w:rPr>
          <w:i/>
          <w:color w:val="444444"/>
        </w:rPr>
        <w:t xml:space="preserve"> Пиковая потребность в финансировании — 1,70 млрд ₽ (конец 2028 года), раунд — 1,8 млрд ₽, запас 99 млн ₽. Запас невелик: при задержке запуска на год потребность вырастает до 3,44 млрд ₽.</w:t>
      </w:r>
    </w:p>
    <w:p>
      <w:pPr>
        <w:ind w:left="360"/>
      </w:pPr>
      <w:r>
        <w:rPr>
          <w:i/>
          <w:color w:val="444444"/>
        </w:rPr>
        <w:t>При такой доле инвестора ($25 млн за 9,21%) расчёт для инвестора при выходе в 2033 году даёт поступления 33,1 млрд ₽, кратность возврата 18,4× и внутреннюю норму доходности 51,6% — при условии полного выполнения плана.</w:t>
      </w:r>
    </w:p>
    <w:p>
      <w:pPr>
        <w:pStyle w:val="Heading3"/>
      </w:pPr>
      <w:r>
        <w:t>11.2. Сопоставление с международными референсами</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Проект</w:t>
            </w:r>
          </w:p>
        </w:tc>
        <w:tc>
          <w:tcPr>
            <w:tcW w:type="dxa" w:w="2160"/>
          </w:tcPr>
          <w:p>
            <w:r>
              <w:rPr>
                <w:b/>
                <w:sz w:val="17"/>
              </w:rPr>
            </w:r>
            <w:r>
              <w:rPr>
                <w:b/>
                <w:sz w:val="17"/>
              </w:rPr>
              <w:t>Юрисдикция</w:t>
            </w:r>
          </w:p>
        </w:tc>
        <w:tc>
          <w:tcPr>
            <w:tcW w:type="dxa" w:w="2160"/>
          </w:tcPr>
          <w:p>
            <w:r>
              <w:rPr>
                <w:b/>
                <w:sz w:val="17"/>
              </w:rPr>
            </w:r>
            <w:r>
              <w:rPr>
                <w:b/>
                <w:sz w:val="17"/>
              </w:rPr>
              <w:t>Стадия</w:t>
            </w:r>
          </w:p>
        </w:tc>
        <w:tc>
          <w:tcPr>
            <w:tcW w:type="dxa" w:w="2160"/>
          </w:tcPr>
          <w:p>
            <w:r>
              <w:rPr>
                <w:b/>
                <w:sz w:val="17"/>
              </w:rPr>
            </w:r>
            <w:r>
              <w:rPr>
                <w:b/>
                <w:sz w:val="17"/>
              </w:rPr>
              <w:t>Pre-money, $ млн</w:t>
            </w:r>
          </w:p>
        </w:tc>
      </w:tr>
      <w:tr>
        <w:tc>
          <w:tcPr>
            <w:tcW w:type="dxa" w:w="2160"/>
          </w:tcPr>
          <w:p>
            <w:r>
              <w:rPr>
                <w:sz w:val="17"/>
              </w:rPr>
            </w:r>
            <w:r>
              <w:rPr>
                <w:sz w:val="17"/>
              </w:rPr>
              <w:t>Securitize</w:t>
            </w:r>
          </w:p>
        </w:tc>
        <w:tc>
          <w:tcPr>
            <w:tcW w:type="dxa" w:w="2160"/>
          </w:tcPr>
          <w:p>
            <w:r>
              <w:rPr>
                <w:sz w:val="17"/>
              </w:rPr>
            </w:r>
            <w:r>
              <w:rPr>
                <w:sz w:val="17"/>
              </w:rPr>
              <w:t>США</w:t>
            </w:r>
          </w:p>
        </w:tc>
        <w:tc>
          <w:tcPr>
            <w:tcW w:type="dxa" w:w="2160"/>
          </w:tcPr>
          <w:p>
            <w:r>
              <w:rPr>
                <w:sz w:val="17"/>
              </w:rPr>
            </w:r>
            <w:r>
              <w:rPr>
                <w:sz w:val="17"/>
              </w:rPr>
              <w:t>Series C</w:t>
            </w:r>
          </w:p>
        </w:tc>
        <w:tc>
          <w:tcPr>
            <w:tcW w:type="dxa" w:w="2160"/>
          </w:tcPr>
          <w:p>
            <w:r>
              <w:rPr>
                <w:sz w:val="17"/>
              </w:rPr>
            </w:r>
            <w:r>
              <w:rPr>
                <w:sz w:val="17"/>
              </w:rPr>
              <w:t>980</w:t>
            </w:r>
          </w:p>
        </w:tc>
      </w:tr>
      <w:tr>
        <w:tc>
          <w:tcPr>
            <w:tcW w:type="dxa" w:w="2160"/>
          </w:tcPr>
          <w:p>
            <w:r>
              <w:rPr>
                <w:sz w:val="17"/>
              </w:rPr>
            </w:r>
            <w:r>
              <w:rPr>
                <w:sz w:val="17"/>
              </w:rPr>
              <w:t>HQLAx</w:t>
            </w:r>
          </w:p>
        </w:tc>
        <w:tc>
          <w:tcPr>
            <w:tcW w:type="dxa" w:w="2160"/>
          </w:tcPr>
          <w:p>
            <w:r>
              <w:rPr>
                <w:sz w:val="17"/>
              </w:rPr>
            </w:r>
            <w:r>
              <w:rPr>
                <w:sz w:val="17"/>
              </w:rPr>
              <w:t>Швейцария</w:t>
            </w:r>
          </w:p>
        </w:tc>
        <w:tc>
          <w:tcPr>
            <w:tcW w:type="dxa" w:w="2160"/>
          </w:tcPr>
          <w:p>
            <w:r>
              <w:rPr>
                <w:sz w:val="17"/>
              </w:rPr>
            </w:r>
            <w:r>
              <w:rPr>
                <w:sz w:val="17"/>
              </w:rPr>
              <w:t>Series B</w:t>
            </w:r>
          </w:p>
        </w:tc>
        <w:tc>
          <w:tcPr>
            <w:tcW w:type="dxa" w:w="2160"/>
          </w:tcPr>
          <w:p>
            <w:r>
              <w:rPr>
                <w:sz w:val="17"/>
              </w:rPr>
            </w:r>
            <w:r>
              <w:rPr>
                <w:sz w:val="17"/>
              </w:rPr>
              <w:t>180</w:t>
            </w:r>
          </w:p>
        </w:tc>
      </w:tr>
      <w:tr>
        <w:tc>
          <w:tcPr>
            <w:tcW w:type="dxa" w:w="2160"/>
          </w:tcPr>
          <w:p>
            <w:r>
              <w:rPr>
                <w:sz w:val="17"/>
              </w:rPr>
            </w:r>
            <w:r>
              <w:rPr>
                <w:sz w:val="17"/>
              </w:rPr>
              <w:t>Atomyze</w:t>
            </w:r>
          </w:p>
        </w:tc>
        <w:tc>
          <w:tcPr>
            <w:tcW w:type="dxa" w:w="2160"/>
          </w:tcPr>
          <w:p>
            <w:r>
              <w:rPr>
                <w:sz w:val="17"/>
              </w:rPr>
            </w:r>
            <w:r>
              <w:rPr>
                <w:sz w:val="17"/>
              </w:rPr>
              <w:t>Россия</w:t>
            </w:r>
          </w:p>
        </w:tc>
        <w:tc>
          <w:tcPr>
            <w:tcW w:type="dxa" w:w="2160"/>
          </w:tcPr>
          <w:p>
            <w:r>
              <w:rPr>
                <w:sz w:val="17"/>
              </w:rPr>
            </w:r>
            <w:r>
              <w:rPr>
                <w:sz w:val="17"/>
              </w:rPr>
              <w:t>Series A</w:t>
            </w:r>
          </w:p>
        </w:tc>
        <w:tc>
          <w:tcPr>
            <w:tcW w:type="dxa" w:w="2160"/>
          </w:tcPr>
          <w:p>
            <w:r>
              <w:rPr>
                <w:sz w:val="17"/>
              </w:rPr>
            </w:r>
            <w:r>
              <w:rPr>
                <w:sz w:val="17"/>
              </w:rPr>
              <w:t>~85</w:t>
            </w:r>
          </w:p>
        </w:tc>
      </w:tr>
      <w:tr>
        <w:tc>
          <w:tcPr>
            <w:tcW w:type="dxa" w:w="2160"/>
          </w:tcPr>
          <w:p>
            <w:r>
              <w:rPr>
                <w:sz w:val="17"/>
              </w:rPr>
            </w:r>
            <w:r>
              <w:rPr>
                <w:sz w:val="17"/>
              </w:rPr>
              <w:t>Polymath</w:t>
            </w:r>
          </w:p>
        </w:tc>
        <w:tc>
          <w:tcPr>
            <w:tcW w:type="dxa" w:w="2160"/>
          </w:tcPr>
          <w:p>
            <w:r>
              <w:rPr>
                <w:sz w:val="17"/>
              </w:rPr>
            </w:r>
            <w:r>
              <w:rPr>
                <w:sz w:val="17"/>
              </w:rPr>
              <w:t>Канада / Барбадос</w:t>
            </w:r>
          </w:p>
        </w:tc>
        <w:tc>
          <w:tcPr>
            <w:tcW w:type="dxa" w:w="2160"/>
          </w:tcPr>
          <w:p>
            <w:r>
              <w:rPr>
                <w:sz w:val="17"/>
              </w:rPr>
            </w:r>
            <w:r>
              <w:rPr>
                <w:sz w:val="17"/>
              </w:rPr>
              <w:t>Series A</w:t>
            </w:r>
          </w:p>
        </w:tc>
        <w:tc>
          <w:tcPr>
            <w:tcW w:type="dxa" w:w="2160"/>
          </w:tcPr>
          <w:p>
            <w:r>
              <w:rPr>
                <w:sz w:val="17"/>
              </w:rPr>
            </w:r>
            <w:r>
              <w:rPr>
                <w:sz w:val="17"/>
              </w:rPr>
              <w:t>75</w:t>
            </w:r>
          </w:p>
        </w:tc>
      </w:tr>
      <w:tr>
        <w:tc>
          <w:tcPr>
            <w:tcW w:type="dxa" w:w="2160"/>
          </w:tcPr>
          <w:p>
            <w:r>
              <w:rPr>
                <w:sz w:val="17"/>
              </w:rPr>
            </w:r>
            <w:r>
              <w:rPr>
                <w:sz w:val="17"/>
              </w:rPr>
              <w:t>Tokeny</w:t>
            </w:r>
          </w:p>
        </w:tc>
        <w:tc>
          <w:tcPr>
            <w:tcW w:type="dxa" w:w="2160"/>
          </w:tcPr>
          <w:p>
            <w:r>
              <w:rPr>
                <w:sz w:val="17"/>
              </w:rPr>
            </w:r>
            <w:r>
              <w:rPr>
                <w:sz w:val="17"/>
              </w:rPr>
              <w:t>Люксембург</w:t>
            </w:r>
          </w:p>
        </w:tc>
        <w:tc>
          <w:tcPr>
            <w:tcW w:type="dxa" w:w="2160"/>
          </w:tcPr>
          <w:p>
            <w:r>
              <w:rPr>
                <w:sz w:val="17"/>
              </w:rPr>
            </w:r>
            <w:r>
              <w:rPr>
                <w:sz w:val="17"/>
              </w:rPr>
              <w:t>Series A</w:t>
            </w:r>
          </w:p>
        </w:tc>
        <w:tc>
          <w:tcPr>
            <w:tcW w:type="dxa" w:w="2160"/>
          </w:tcPr>
          <w:p>
            <w:r>
              <w:rPr>
                <w:sz w:val="17"/>
              </w:rPr>
            </w:r>
            <w:r>
              <w:rPr>
                <w:sz w:val="17"/>
              </w:rPr>
              <w:t>60</w:t>
            </w:r>
          </w:p>
        </w:tc>
      </w:tr>
      <w:tr>
        <w:tc>
          <w:tcPr>
            <w:tcW w:type="dxa" w:w="2160"/>
          </w:tcPr>
          <w:p>
            <w:r>
              <w:rPr>
                <w:sz w:val="17"/>
              </w:rPr>
            </w:r>
            <w:r>
              <w:rPr>
                <w:b/>
                <w:sz w:val="17"/>
              </w:rPr>
              <w:t>ЦПФСР (расчётная база)</w:t>
            </w:r>
          </w:p>
        </w:tc>
        <w:tc>
          <w:tcPr>
            <w:tcW w:type="dxa" w:w="2160"/>
          </w:tcPr>
          <w:p>
            <w:r>
              <w:rPr>
                <w:sz w:val="17"/>
              </w:rPr>
            </w:r>
            <w:r>
              <w:rPr>
                <w:b/>
                <w:sz w:val="17"/>
              </w:rPr>
              <w:t>Россия</w:t>
            </w:r>
          </w:p>
        </w:tc>
        <w:tc>
          <w:tcPr>
            <w:tcW w:type="dxa" w:w="2160"/>
          </w:tcPr>
          <w:p>
            <w:r>
              <w:rPr>
                <w:sz w:val="17"/>
              </w:rPr>
            </w:r>
            <w:r>
              <w:rPr>
                <w:b/>
                <w:sz w:val="17"/>
              </w:rPr>
              <w:t>прототип / Series A</w:t>
            </w:r>
          </w:p>
        </w:tc>
        <w:tc>
          <w:tcPr>
            <w:tcW w:type="dxa" w:w="2160"/>
          </w:tcPr>
          <w:p>
            <w:r>
              <w:rPr>
                <w:sz w:val="17"/>
              </w:rPr>
            </w:r>
            <w:r>
              <w:rPr>
                <w:b/>
                <w:sz w:val="17"/>
              </w:rPr>
              <w:t>248</w:t>
            </w:r>
          </w:p>
        </w:tc>
      </w:tr>
    </w:tbl>
    <w:p/>
    <w:p>
      <w:pPr>
        <w:pStyle w:val="Heading2"/>
      </w:pPr>
      <w:r>
        <w:t>12. Допущения, ограничения, оговорки</w:t>
      </w:r>
    </w:p>
    <w:p>
      <w:pPr>
        <w:pStyle w:val="Heading3"/>
      </w:pPr>
      <w:r>
        <w:t>12.1. Общие допущения</w:t>
      </w:r>
    </w:p>
    <w:p>
      <w:pPr>
        <w:pStyle w:val="ListNumber"/>
      </w:pPr>
      <w:r>
        <w:t xml:space="preserve">Оценка выполнена в предположении </w:t>
      </w:r>
      <w:r>
        <w:rPr>
          <w:b/>
        </w:rPr>
        <w:t>премиссы Going Concern</w:t>
      </w:r>
      <w:r>
        <w:t>.</w:t>
      </w:r>
    </w:p>
    <w:p>
      <w:pPr>
        <w:pStyle w:val="ListNumber"/>
      </w:pPr>
      <w:r>
        <w:t xml:space="preserve">Принят постоянный </w:t>
      </w:r>
      <w:r>
        <w:rPr>
          <w:b/>
        </w:rPr>
        <w:t>WACC на горизонте 2025–2034</w:t>
      </w:r>
      <w:r>
        <w:t xml:space="preserve"> на уровне 29,5%; в реальности WACC будет снижаться по мере снижения КС ЦБ РФ — создаёт </w:t>
      </w:r>
      <w:r>
        <w:rPr>
          <w:b/>
        </w:rPr>
        <w:t>положительный bias</w:t>
      </w:r>
      <w:r>
        <w:t>.</w:t>
      </w:r>
    </w:p>
    <w:p>
      <w:pPr>
        <w:pStyle w:val="ListNumber"/>
      </w:pPr>
      <w:r>
        <w:t xml:space="preserve">Принят </w:t>
      </w:r>
      <w:r>
        <w:rPr>
          <w:b/>
        </w:rPr>
        <w:t>линейный курс USD/RUB</w:t>
      </w:r>
      <w:r>
        <w:t xml:space="preserve"> по официальному курсу ЦБ РФ (71,5460); FX-волатильность не учтена.</w:t>
      </w:r>
    </w:p>
    <w:p>
      <w:pPr>
        <w:pStyle w:val="ListNumber"/>
      </w:pPr>
      <w:r>
        <w:t xml:space="preserve">Налоговый режим — </w:t>
      </w:r>
      <w:r>
        <w:rPr>
          <w:b/>
        </w:rPr>
        <w:t>стандартный (налог на прибыль 25% — ставка с 01.01.2025 по 176-ФЗ от 12.07.2024; операции с ЦФА НДС не облагаются как операции с ценными бумагами, пп. 12 п. 2 ст. 149 НК РФ)</w:t>
      </w:r>
      <w:r>
        <w:t>; ИТ-аккредитация с 5%-ставкой даёт +25–30% к NPV (вне Base).</w:t>
      </w:r>
    </w:p>
    <w:p>
      <w:pPr>
        <w:pStyle w:val="ListNumber"/>
      </w:pPr>
      <w:r>
        <w:t xml:space="preserve">Принят </w:t>
      </w:r>
      <w:r>
        <w:rPr>
          <w:b/>
        </w:rPr>
        <w:t>equity-only structure</w:t>
      </w:r>
      <w:r>
        <w:t>; долговое финансирование даёт дополнительный налоговый щит.</w:t>
      </w:r>
    </w:p>
    <w:p>
      <w:pPr>
        <w:pStyle w:val="ListNumber"/>
      </w:pPr>
      <w:r>
        <w:t>Размер целевой залоговой ёмкости (₽ 25,5 трлн) — концептуальная оценка Заказчика.</w:t>
      </w:r>
    </w:p>
    <w:p>
      <w:pPr>
        <w:pStyle w:val="Heading3"/>
      </w:pPr>
      <w:r>
        <w:t>12.2. Специальные допущения (IVS 104 §200)</w:t>
      </w:r>
    </w:p>
    <w:p>
      <w:pPr>
        <w:pStyle w:val="ListNumber"/>
      </w:pPr>
      <w:r>
        <w:rPr>
          <w:b/>
        </w:rPr>
        <w:t>Принятие пакета НПА</w:t>
      </w:r>
      <w:r>
        <w:t xml:space="preserve"> (Stage 2) — бинарный регуляторный фактор; в Base T+36 мес.</w:t>
      </w:r>
    </w:p>
    <w:p>
      <w:pPr>
        <w:pStyle w:val="ListNumber"/>
      </w:pPr>
      <w:r>
        <w:t>Получение операторской лицензии ЦБ РФ по 779-П на горизонте T+12…T+18 мес.</w:t>
      </w:r>
    </w:p>
    <w:p>
      <w:pPr>
        <w:pStyle w:val="ListNumber"/>
      </w:pPr>
      <w:r>
        <w:t>Сертификация ФСТЭК / ФСБ (КИИ-1) на горизонте T+18 мес.</w:t>
      </w:r>
    </w:p>
    <w:p>
      <w:pPr>
        <w:pStyle w:val="ListNumber"/>
      </w:pPr>
      <w:r>
        <w:t>Привлечение Series A раунда $15 млн на горизонте T+6 мес.</w:t>
      </w:r>
    </w:p>
    <w:p>
      <w:pPr>
        <w:pStyle w:val="Heading3"/>
      </w:pPr>
      <w:r>
        <w:t>12.3. Ограничения и оговорки</w:t>
      </w:r>
    </w:p>
    <w:p>
      <w:pPr>
        <w:pStyle w:val="ListBullet"/>
      </w:pPr>
      <w:r>
        <w:t xml:space="preserve">Настоящий отчёт </w:t>
      </w:r>
      <w:r>
        <w:rPr>
          <w:b/>
        </w:rPr>
        <w:t>не является</w:t>
      </w:r>
      <w:r>
        <w:t xml:space="preserve"> отчётом независимого оценщика по 135-ФЗ (для официального применения требуется привлечение оценщика-члена СРО).</w:t>
      </w:r>
    </w:p>
    <w:p>
      <w:pPr>
        <w:pStyle w:val="ListBullet"/>
      </w:pPr>
      <w:r>
        <w:t>Не является финансовым консультированием, инвестиционным советом или офертой.</w:t>
      </w:r>
    </w:p>
    <w:p>
      <w:pPr>
        <w:pStyle w:val="ListBullet"/>
      </w:pPr>
      <w:r>
        <w:t>Сведения о сопоставимых сделках — из открытых источников; реальные параметры приватных сделок могут отличаться.</w:t>
      </w:r>
    </w:p>
    <w:p>
      <w:pPr>
        <w:pStyle w:val="ListBullet"/>
      </w:pPr>
      <w:r>
        <w:t>Источник Damodaran (ERP/CRP) обновляется ежегодно; на дату оценки применяется последнее обновление от 05.01.2026 — формально вне 30-дневного коридора; sanity-check через КС ЦБ + спред даёт идентичный WACC.</w:t>
      </w:r>
    </w:p>
    <w:p>
      <w:pPr>
        <w:pStyle w:val="ListBullet"/>
      </w:pPr>
      <w:r>
        <w:t xml:space="preserve">Регуляторный риск (бинарность пакета нормативных актов) — </w:t>
      </w:r>
      <w:r>
        <w:rPr>
          <w:b/>
        </w:rPr>
        <w:t>не диверсифицируем</w:t>
      </w:r>
      <w:r>
        <w:t>; в консервативном сценарии стоимость бизнеса составляет 20,1 млрд ₽ и защищена режимом пилота в действующем 259-ФЗ.</w:t>
      </w:r>
    </w:p>
    <w:p>
      <w:pPr>
        <w:pStyle w:val="ListBullet"/>
      </w:pPr>
      <w:r>
        <w:t>Перепроверка отчёта рекомендуется при изменении КС ЦБ РФ более чем на 200 б.п. или курса USD/RUB более чем на 10%.</w:t>
      </w:r>
    </w:p>
    <w:p>
      <w:pPr>
        <w:pStyle w:val="Heading2"/>
      </w:pPr>
      <w:r>
        <w:t>13. Анализ чувствительности и сценариев</w:t>
      </w:r>
    </w:p>
    <w:p>
      <w:pPr>
        <w:pStyle w:val="Heading3"/>
      </w:pPr>
      <w:r>
        <w:t>13.1. Чувствительность к WACC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Ставка</w:t>
            </w:r>
          </w:p>
        </w:tc>
        <w:tc>
          <w:tcPr>
            <w:tcW w:type="dxa" w:w="2160"/>
          </w:tcPr>
          <w:p>
            <w:r>
              <w:rPr>
                <w:b/>
                <w:sz w:val="17"/>
              </w:rPr>
            </w:r>
            <w:r>
              <w:rPr>
                <w:b/>
                <w:sz w:val="17"/>
              </w:rPr>
              <w:t>Стоимость бизнеса, млрд ₽</w:t>
            </w:r>
          </w:p>
        </w:tc>
        <w:tc>
          <w:tcPr>
            <w:tcW w:type="dxa" w:w="2160"/>
          </w:tcPr>
          <w:p>
            <w:r>
              <w:rPr>
                <w:b/>
                <w:sz w:val="17"/>
              </w:rPr>
            </w:r>
            <w:r>
              <w:rPr>
                <w:b/>
                <w:sz w:val="17"/>
              </w:rPr>
              <w:t>Pre-money по свёртке, $ млн</w:t>
            </w:r>
          </w:p>
        </w:tc>
        <w:tc>
          <w:tcPr>
            <w:tcW w:type="dxa" w:w="2160"/>
          </w:tcPr>
          <w:p>
            <w:r>
              <w:rPr>
                <w:b/>
                <w:sz w:val="17"/>
              </w:rPr>
            </w:r>
            <w:r>
              <w:rPr>
                <w:b/>
                <w:sz w:val="17"/>
              </w:rPr>
              <w:t>Pre-money, млрд ₽</w:t>
            </w:r>
          </w:p>
        </w:tc>
      </w:tr>
      <w:tr>
        <w:tc>
          <w:tcPr>
            <w:tcW w:type="dxa" w:w="2160"/>
          </w:tcPr>
          <w:p>
            <w:r>
              <w:rPr>
                <w:sz w:val="17"/>
              </w:rPr>
            </w:r>
            <w:r>
              <w:rPr>
                <w:sz w:val="17"/>
              </w:rPr>
              <w:t>26,0%</w:t>
            </w:r>
          </w:p>
        </w:tc>
        <w:tc>
          <w:tcPr>
            <w:tcW w:type="dxa" w:w="2160"/>
          </w:tcPr>
          <w:p>
            <w:r>
              <w:rPr>
                <w:sz w:val="17"/>
              </w:rPr>
            </w:r>
            <w:r>
              <w:rPr>
                <w:sz w:val="17"/>
              </w:rPr>
              <w:t>84,9</w:t>
            </w:r>
          </w:p>
        </w:tc>
        <w:tc>
          <w:tcPr>
            <w:tcW w:type="dxa" w:w="2160"/>
          </w:tcPr>
          <w:p>
            <w:r>
              <w:rPr>
                <w:sz w:val="17"/>
              </w:rPr>
            </w:r>
            <w:r>
              <w:rPr>
                <w:sz w:val="17"/>
              </w:rPr>
              <w:t>291</w:t>
            </w:r>
          </w:p>
        </w:tc>
        <w:tc>
          <w:tcPr>
            <w:tcW w:type="dxa" w:w="2160"/>
          </w:tcPr>
          <w:p>
            <w:r>
              <w:rPr>
                <w:sz w:val="17"/>
              </w:rPr>
            </w:r>
            <w:r>
              <w:rPr>
                <w:sz w:val="17"/>
              </w:rPr>
              <w:t>20,81</w:t>
            </w:r>
          </w:p>
        </w:tc>
      </w:tr>
      <w:tr>
        <w:tc>
          <w:tcPr>
            <w:tcW w:type="dxa" w:w="2160"/>
          </w:tcPr>
          <w:p>
            <w:r>
              <w:rPr>
                <w:sz w:val="17"/>
              </w:rPr>
            </w:r>
            <w:r>
              <w:rPr>
                <w:sz w:val="17"/>
              </w:rPr>
              <w:t>27,5%</w:t>
            </w:r>
          </w:p>
        </w:tc>
        <w:tc>
          <w:tcPr>
            <w:tcW w:type="dxa" w:w="2160"/>
          </w:tcPr>
          <w:p>
            <w:r>
              <w:rPr>
                <w:sz w:val="17"/>
              </w:rPr>
            </w:r>
            <w:r>
              <w:rPr>
                <w:sz w:val="17"/>
              </w:rPr>
              <w:t>74,6</w:t>
            </w:r>
          </w:p>
        </w:tc>
        <w:tc>
          <w:tcPr>
            <w:tcW w:type="dxa" w:w="2160"/>
          </w:tcPr>
          <w:p>
            <w:r>
              <w:rPr>
                <w:sz w:val="17"/>
              </w:rPr>
            </w:r>
            <w:r>
              <w:rPr>
                <w:sz w:val="17"/>
              </w:rPr>
              <w:t>271</w:t>
            </w:r>
          </w:p>
        </w:tc>
        <w:tc>
          <w:tcPr>
            <w:tcW w:type="dxa" w:w="2160"/>
          </w:tcPr>
          <w:p>
            <w:r>
              <w:rPr>
                <w:sz w:val="17"/>
              </w:rPr>
            </w:r>
            <w:r>
              <w:rPr>
                <w:sz w:val="17"/>
              </w:rPr>
              <w:t>19,37</w:t>
            </w:r>
          </w:p>
        </w:tc>
      </w:tr>
      <w:tr>
        <w:tc>
          <w:tcPr>
            <w:tcW w:type="dxa" w:w="2160"/>
          </w:tcPr>
          <w:p>
            <w:r>
              <w:rPr>
                <w:sz w:val="17"/>
              </w:rPr>
            </w:r>
            <w:r>
              <w:rPr>
                <w:sz w:val="17"/>
              </w:rPr>
              <w:t>29,0%</w:t>
            </w:r>
          </w:p>
        </w:tc>
        <w:tc>
          <w:tcPr>
            <w:tcW w:type="dxa" w:w="2160"/>
          </w:tcPr>
          <w:p>
            <w:r>
              <w:rPr>
                <w:sz w:val="17"/>
              </w:rPr>
            </w:r>
            <w:r>
              <w:rPr>
                <w:sz w:val="17"/>
              </w:rPr>
              <w:t>66,0</w:t>
            </w:r>
          </w:p>
        </w:tc>
        <w:tc>
          <w:tcPr>
            <w:tcW w:type="dxa" w:w="2160"/>
          </w:tcPr>
          <w:p>
            <w:r>
              <w:rPr>
                <w:sz w:val="17"/>
              </w:rPr>
            </w:r>
            <w:r>
              <w:rPr>
                <w:sz w:val="17"/>
              </w:rPr>
              <w:t>254</w:t>
            </w:r>
          </w:p>
        </w:tc>
        <w:tc>
          <w:tcPr>
            <w:tcW w:type="dxa" w:w="2160"/>
          </w:tcPr>
          <w:p>
            <w:r>
              <w:rPr>
                <w:sz w:val="17"/>
              </w:rPr>
            </w:r>
            <w:r>
              <w:rPr>
                <w:sz w:val="17"/>
              </w:rPr>
              <w:t>18,16</w:t>
            </w:r>
          </w:p>
        </w:tc>
      </w:tr>
      <w:tr>
        <w:tc>
          <w:tcPr>
            <w:tcW w:type="dxa" w:w="2160"/>
          </w:tcPr>
          <w:p>
            <w:r>
              <w:rPr>
                <w:sz w:val="17"/>
              </w:rPr>
            </w:r>
            <w:r>
              <w:rPr>
                <w:b/>
                <w:sz w:val="17"/>
              </w:rPr>
              <w:t>29,58% (база)</w:t>
            </w:r>
          </w:p>
        </w:tc>
        <w:tc>
          <w:tcPr>
            <w:tcW w:type="dxa" w:w="2160"/>
          </w:tcPr>
          <w:p>
            <w:r>
              <w:rPr>
                <w:sz w:val="17"/>
              </w:rPr>
            </w:r>
            <w:r>
              <w:rPr>
                <w:b/>
                <w:sz w:val="17"/>
              </w:rPr>
              <w:t>62,97</w:t>
            </w:r>
          </w:p>
        </w:tc>
        <w:tc>
          <w:tcPr>
            <w:tcW w:type="dxa" w:w="2160"/>
          </w:tcPr>
          <w:p>
            <w:r>
              <w:rPr>
                <w:sz w:val="17"/>
              </w:rPr>
            </w:r>
            <w:r>
              <w:rPr>
                <w:b/>
                <w:sz w:val="17"/>
              </w:rPr>
              <w:t>248</w:t>
            </w:r>
          </w:p>
        </w:tc>
        <w:tc>
          <w:tcPr>
            <w:tcW w:type="dxa" w:w="2160"/>
          </w:tcPr>
          <w:p>
            <w:r>
              <w:rPr>
                <w:sz w:val="17"/>
              </w:rPr>
            </w:r>
            <w:r>
              <w:rPr>
                <w:b/>
                <w:sz w:val="17"/>
              </w:rPr>
              <w:t>17,74</w:t>
            </w:r>
          </w:p>
        </w:tc>
      </w:tr>
      <w:tr>
        <w:tc>
          <w:tcPr>
            <w:tcW w:type="dxa" w:w="2160"/>
          </w:tcPr>
          <w:p>
            <w:r>
              <w:rPr>
                <w:sz w:val="17"/>
              </w:rPr>
            </w:r>
            <w:r>
              <w:rPr>
                <w:sz w:val="17"/>
              </w:rPr>
              <w:t>30,0%</w:t>
            </w:r>
          </w:p>
        </w:tc>
        <w:tc>
          <w:tcPr>
            <w:tcW w:type="dxa" w:w="2160"/>
          </w:tcPr>
          <w:p>
            <w:r>
              <w:rPr>
                <w:sz w:val="17"/>
              </w:rPr>
            </w:r>
            <w:r>
              <w:rPr>
                <w:sz w:val="17"/>
              </w:rPr>
              <w:t>60,9</w:t>
            </w:r>
          </w:p>
        </w:tc>
        <w:tc>
          <w:tcPr>
            <w:tcW w:type="dxa" w:w="2160"/>
          </w:tcPr>
          <w:p>
            <w:r>
              <w:rPr>
                <w:sz w:val="17"/>
              </w:rPr>
            </w:r>
            <w:r>
              <w:rPr>
                <w:sz w:val="17"/>
              </w:rPr>
              <w:t>244</w:t>
            </w:r>
          </w:p>
        </w:tc>
        <w:tc>
          <w:tcPr>
            <w:tcW w:type="dxa" w:w="2160"/>
          </w:tcPr>
          <w:p>
            <w:r>
              <w:rPr>
                <w:sz w:val="17"/>
              </w:rPr>
            </w:r>
            <w:r>
              <w:rPr>
                <w:sz w:val="17"/>
              </w:rPr>
              <w:t>17,45</w:t>
            </w:r>
          </w:p>
        </w:tc>
      </w:tr>
      <w:tr>
        <w:tc>
          <w:tcPr>
            <w:tcW w:type="dxa" w:w="2160"/>
          </w:tcPr>
          <w:p>
            <w:r>
              <w:rPr>
                <w:sz w:val="17"/>
              </w:rPr>
            </w:r>
            <w:r>
              <w:rPr>
                <w:sz w:val="17"/>
              </w:rPr>
              <w:t>31,0%</w:t>
            </w:r>
          </w:p>
        </w:tc>
        <w:tc>
          <w:tcPr>
            <w:tcW w:type="dxa" w:w="2160"/>
          </w:tcPr>
          <w:p>
            <w:r>
              <w:rPr>
                <w:sz w:val="17"/>
              </w:rPr>
            </w:r>
            <w:r>
              <w:rPr>
                <w:sz w:val="17"/>
              </w:rPr>
              <w:t>56,4</w:t>
            </w:r>
          </w:p>
        </w:tc>
        <w:tc>
          <w:tcPr>
            <w:tcW w:type="dxa" w:w="2160"/>
          </w:tcPr>
          <w:p>
            <w:r>
              <w:rPr>
                <w:sz w:val="17"/>
              </w:rPr>
            </w:r>
            <w:r>
              <w:rPr>
                <w:sz w:val="17"/>
              </w:rPr>
              <w:t>235</w:t>
            </w:r>
          </w:p>
        </w:tc>
        <w:tc>
          <w:tcPr>
            <w:tcW w:type="dxa" w:w="2160"/>
          </w:tcPr>
          <w:p>
            <w:r>
              <w:rPr>
                <w:sz w:val="17"/>
              </w:rPr>
            </w:r>
            <w:r>
              <w:rPr>
                <w:sz w:val="17"/>
              </w:rPr>
              <w:t>16,82</w:t>
            </w:r>
          </w:p>
        </w:tc>
      </w:tr>
      <w:tr>
        <w:tc>
          <w:tcPr>
            <w:tcW w:type="dxa" w:w="2160"/>
          </w:tcPr>
          <w:p>
            <w:r>
              <w:rPr>
                <w:sz w:val="17"/>
              </w:rPr>
            </w:r>
            <w:r>
              <w:rPr>
                <w:sz w:val="17"/>
              </w:rPr>
              <w:t>33,0%</w:t>
            </w:r>
          </w:p>
        </w:tc>
        <w:tc>
          <w:tcPr>
            <w:tcW w:type="dxa" w:w="2160"/>
          </w:tcPr>
          <w:p>
            <w:r>
              <w:rPr>
                <w:sz w:val="17"/>
              </w:rPr>
            </w:r>
            <w:r>
              <w:rPr>
                <w:sz w:val="17"/>
              </w:rPr>
              <w:t>48,5</w:t>
            </w:r>
          </w:p>
        </w:tc>
        <w:tc>
          <w:tcPr>
            <w:tcW w:type="dxa" w:w="2160"/>
          </w:tcPr>
          <w:p>
            <w:r>
              <w:rPr>
                <w:sz w:val="17"/>
              </w:rPr>
            </w:r>
            <w:r>
              <w:rPr>
                <w:sz w:val="17"/>
              </w:rPr>
              <w:t>220</w:t>
            </w:r>
          </w:p>
        </w:tc>
        <w:tc>
          <w:tcPr>
            <w:tcW w:type="dxa" w:w="2160"/>
          </w:tcPr>
          <w:p>
            <w:r>
              <w:rPr>
                <w:sz w:val="17"/>
              </w:rPr>
            </w:r>
            <w:r>
              <w:rPr>
                <w:sz w:val="17"/>
              </w:rPr>
              <w:t>15,72</w:t>
            </w:r>
          </w:p>
        </w:tc>
      </w:tr>
    </w:tbl>
    <w:p/>
    <w:p>
      <w:pPr>
        <w:pStyle w:val="Heading3"/>
      </w:pPr>
      <w:r>
        <w:t>13.2. Чувствительность к доле рынка год 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Доля рынка год 10</w:t>
            </w:r>
          </w:p>
        </w:tc>
        <w:tc>
          <w:tcPr>
            <w:tcW w:type="dxa" w:w="2160"/>
          </w:tcPr>
          <w:p>
            <w:r>
              <w:rPr>
                <w:b/>
                <w:sz w:val="17"/>
              </w:rPr>
            </w:r>
            <w:r>
              <w:rPr>
                <w:b/>
                <w:sz w:val="17"/>
              </w:rPr>
              <w:t>Стоимость бизнеса, млрд ₽</w:t>
            </w:r>
          </w:p>
        </w:tc>
        <w:tc>
          <w:tcPr>
            <w:tcW w:type="dxa" w:w="2160"/>
          </w:tcPr>
          <w:p>
            <w:r>
              <w:rPr>
                <w:b/>
                <w:sz w:val="17"/>
              </w:rPr>
            </w:r>
            <w:r>
              <w:rPr>
                <w:b/>
                <w:sz w:val="17"/>
              </w:rPr>
              <w:t>Pre-money, $ млн</w:t>
            </w:r>
          </w:p>
        </w:tc>
        <w:tc>
          <w:tcPr>
            <w:tcW w:type="dxa" w:w="2160"/>
          </w:tcPr>
          <w:p>
            <w:r>
              <w:rPr>
                <w:b/>
                <w:sz w:val="17"/>
              </w:rPr>
            </w:r>
            <w:r>
              <w:rPr>
                <w:b/>
                <w:sz w:val="17"/>
              </w:rPr>
              <w:t>Pre-money, млрд ₽</w:t>
            </w:r>
          </w:p>
        </w:tc>
      </w:tr>
      <w:tr>
        <w:tc>
          <w:tcPr>
            <w:tcW w:type="dxa" w:w="2160"/>
          </w:tcPr>
          <w:p>
            <w:r>
              <w:rPr>
                <w:sz w:val="17"/>
              </w:rPr>
            </w:r>
            <w:r>
              <w:rPr>
                <w:sz w:val="17"/>
              </w:rPr>
              <w:t>7% (консервативный)</w:t>
            </w:r>
          </w:p>
        </w:tc>
        <w:tc>
          <w:tcPr>
            <w:tcW w:type="dxa" w:w="2160"/>
          </w:tcPr>
          <w:p>
            <w:r>
              <w:rPr>
                <w:sz w:val="17"/>
              </w:rPr>
            </w:r>
            <w:r>
              <w:rPr>
                <w:sz w:val="17"/>
              </w:rPr>
              <w:t>20,1</w:t>
            </w:r>
          </w:p>
        </w:tc>
        <w:tc>
          <w:tcPr>
            <w:tcW w:type="dxa" w:w="2160"/>
          </w:tcPr>
          <w:p>
            <w:r>
              <w:rPr>
                <w:sz w:val="17"/>
              </w:rPr>
            </w:r>
            <w:r>
              <w:rPr>
                <w:sz w:val="17"/>
              </w:rPr>
              <w:t>164</w:t>
            </w:r>
          </w:p>
        </w:tc>
        <w:tc>
          <w:tcPr>
            <w:tcW w:type="dxa" w:w="2160"/>
          </w:tcPr>
          <w:p>
            <w:r>
              <w:rPr>
                <w:sz w:val="17"/>
              </w:rPr>
            </w:r>
            <w:r>
              <w:rPr>
                <w:sz w:val="17"/>
              </w:rPr>
              <w:t>11,74</w:t>
            </w:r>
          </w:p>
        </w:tc>
      </w:tr>
      <w:tr>
        <w:tc>
          <w:tcPr>
            <w:tcW w:type="dxa" w:w="2160"/>
          </w:tcPr>
          <w:p>
            <w:r>
              <w:rPr>
                <w:sz w:val="17"/>
              </w:rPr>
            </w:r>
            <w:r>
              <w:rPr>
                <w:sz w:val="17"/>
              </w:rPr>
              <w:t>10%</w:t>
            </w:r>
          </w:p>
        </w:tc>
        <w:tc>
          <w:tcPr>
            <w:tcW w:type="dxa" w:w="2160"/>
          </w:tcPr>
          <w:p>
            <w:r>
              <w:rPr>
                <w:sz w:val="17"/>
              </w:rPr>
            </w:r>
            <w:r>
              <w:rPr>
                <w:sz w:val="17"/>
              </w:rPr>
              <w:t>31,8</w:t>
            </w:r>
          </w:p>
        </w:tc>
        <w:tc>
          <w:tcPr>
            <w:tcW w:type="dxa" w:w="2160"/>
          </w:tcPr>
          <w:p>
            <w:r>
              <w:rPr>
                <w:sz w:val="17"/>
              </w:rPr>
            </w:r>
            <w:r>
              <w:rPr>
                <w:sz w:val="17"/>
              </w:rPr>
              <w:t>187</w:t>
            </w:r>
          </w:p>
        </w:tc>
        <w:tc>
          <w:tcPr>
            <w:tcW w:type="dxa" w:w="2160"/>
          </w:tcPr>
          <w:p>
            <w:r>
              <w:rPr>
                <w:sz w:val="17"/>
              </w:rPr>
            </w:r>
            <w:r>
              <w:rPr>
                <w:sz w:val="17"/>
              </w:rPr>
              <w:t>13,37</w:t>
            </w:r>
          </w:p>
        </w:tc>
      </w:tr>
      <w:tr>
        <w:tc>
          <w:tcPr>
            <w:tcW w:type="dxa" w:w="2160"/>
          </w:tcPr>
          <w:p>
            <w:r>
              <w:rPr>
                <w:sz w:val="17"/>
              </w:rPr>
            </w:r>
            <w:r>
              <w:rPr>
                <w:sz w:val="17"/>
              </w:rPr>
              <w:t>14%</w:t>
            </w:r>
          </w:p>
        </w:tc>
        <w:tc>
          <w:tcPr>
            <w:tcW w:type="dxa" w:w="2160"/>
          </w:tcPr>
          <w:p>
            <w:r>
              <w:rPr>
                <w:sz w:val="17"/>
              </w:rPr>
            </w:r>
            <w:r>
              <w:rPr>
                <w:sz w:val="17"/>
              </w:rPr>
              <w:t>47,4</w:t>
            </w:r>
          </w:p>
        </w:tc>
        <w:tc>
          <w:tcPr>
            <w:tcW w:type="dxa" w:w="2160"/>
          </w:tcPr>
          <w:p>
            <w:r>
              <w:rPr>
                <w:sz w:val="17"/>
              </w:rPr>
            </w:r>
            <w:r>
              <w:rPr>
                <w:sz w:val="17"/>
              </w:rPr>
              <w:t>217</w:t>
            </w:r>
          </w:p>
        </w:tc>
        <w:tc>
          <w:tcPr>
            <w:tcW w:type="dxa" w:w="2160"/>
          </w:tcPr>
          <w:p>
            <w:r>
              <w:rPr>
                <w:sz w:val="17"/>
              </w:rPr>
            </w:r>
            <w:r>
              <w:rPr>
                <w:sz w:val="17"/>
              </w:rPr>
              <w:t>15,56</w:t>
            </w:r>
          </w:p>
        </w:tc>
      </w:tr>
      <w:tr>
        <w:tc>
          <w:tcPr>
            <w:tcW w:type="dxa" w:w="2160"/>
          </w:tcPr>
          <w:p>
            <w:r>
              <w:rPr>
                <w:sz w:val="17"/>
              </w:rPr>
            </w:r>
            <w:r>
              <w:rPr>
                <w:b/>
                <w:sz w:val="17"/>
              </w:rPr>
              <w:t>18% (база)</w:t>
            </w:r>
          </w:p>
        </w:tc>
        <w:tc>
          <w:tcPr>
            <w:tcW w:type="dxa" w:w="2160"/>
          </w:tcPr>
          <w:p>
            <w:r>
              <w:rPr>
                <w:sz w:val="17"/>
              </w:rPr>
            </w:r>
            <w:r>
              <w:rPr>
                <w:b/>
                <w:sz w:val="17"/>
              </w:rPr>
              <w:t>63,0</w:t>
            </w:r>
          </w:p>
        </w:tc>
        <w:tc>
          <w:tcPr>
            <w:tcW w:type="dxa" w:w="2160"/>
          </w:tcPr>
          <w:p>
            <w:r>
              <w:rPr>
                <w:sz w:val="17"/>
              </w:rPr>
            </w:r>
            <w:r>
              <w:rPr>
                <w:b/>
                <w:sz w:val="17"/>
              </w:rPr>
              <w:t>248</w:t>
            </w:r>
          </w:p>
        </w:tc>
        <w:tc>
          <w:tcPr>
            <w:tcW w:type="dxa" w:w="2160"/>
          </w:tcPr>
          <w:p>
            <w:r>
              <w:rPr>
                <w:sz w:val="17"/>
              </w:rPr>
            </w:r>
            <w:r>
              <w:rPr>
                <w:b/>
                <w:sz w:val="17"/>
              </w:rPr>
              <w:t>17,74</w:t>
            </w:r>
          </w:p>
        </w:tc>
      </w:tr>
      <w:tr>
        <w:tc>
          <w:tcPr>
            <w:tcW w:type="dxa" w:w="2160"/>
          </w:tcPr>
          <w:p>
            <w:r>
              <w:rPr>
                <w:sz w:val="17"/>
              </w:rPr>
            </w:r>
            <w:r>
              <w:rPr>
                <w:sz w:val="17"/>
              </w:rPr>
              <w:t>22%</w:t>
            </w:r>
          </w:p>
        </w:tc>
        <w:tc>
          <w:tcPr>
            <w:tcW w:type="dxa" w:w="2160"/>
          </w:tcPr>
          <w:p>
            <w:r>
              <w:rPr>
                <w:sz w:val="17"/>
              </w:rPr>
            </w:r>
            <w:r>
              <w:rPr>
                <w:sz w:val="17"/>
              </w:rPr>
              <w:t>78,6</w:t>
            </w:r>
          </w:p>
        </w:tc>
        <w:tc>
          <w:tcPr>
            <w:tcW w:type="dxa" w:w="2160"/>
          </w:tcPr>
          <w:p>
            <w:r>
              <w:rPr>
                <w:sz w:val="17"/>
              </w:rPr>
            </w:r>
            <w:r>
              <w:rPr>
                <w:sz w:val="17"/>
              </w:rPr>
              <w:t>278</w:t>
            </w:r>
          </w:p>
        </w:tc>
        <w:tc>
          <w:tcPr>
            <w:tcW w:type="dxa" w:w="2160"/>
          </w:tcPr>
          <w:p>
            <w:r>
              <w:rPr>
                <w:sz w:val="17"/>
              </w:rPr>
            </w:r>
            <w:r>
              <w:rPr>
                <w:sz w:val="17"/>
              </w:rPr>
              <w:t>19,92</w:t>
            </w:r>
          </w:p>
        </w:tc>
      </w:tr>
      <w:tr>
        <w:tc>
          <w:tcPr>
            <w:tcW w:type="dxa" w:w="2160"/>
          </w:tcPr>
          <w:p>
            <w:r>
              <w:rPr>
                <w:sz w:val="17"/>
              </w:rPr>
            </w:r>
            <w:r>
              <w:rPr>
                <w:sz w:val="17"/>
              </w:rPr>
              <w:t>25% (оптимистичный)</w:t>
            </w:r>
          </w:p>
        </w:tc>
        <w:tc>
          <w:tcPr>
            <w:tcW w:type="dxa" w:w="2160"/>
          </w:tcPr>
          <w:p>
            <w:r>
              <w:rPr>
                <w:sz w:val="17"/>
              </w:rPr>
            </w:r>
            <w:r>
              <w:rPr>
                <w:sz w:val="17"/>
              </w:rPr>
              <w:t>90,2</w:t>
            </w:r>
          </w:p>
        </w:tc>
        <w:tc>
          <w:tcPr>
            <w:tcW w:type="dxa" w:w="2160"/>
          </w:tcPr>
          <w:p>
            <w:r>
              <w:rPr>
                <w:sz w:val="17"/>
              </w:rPr>
            </w:r>
            <w:r>
              <w:rPr>
                <w:sz w:val="17"/>
              </w:rPr>
              <w:t>301</w:t>
            </w:r>
          </w:p>
        </w:tc>
        <w:tc>
          <w:tcPr>
            <w:tcW w:type="dxa" w:w="2160"/>
          </w:tcPr>
          <w:p>
            <w:r>
              <w:rPr>
                <w:sz w:val="17"/>
              </w:rPr>
            </w:r>
            <w:r>
              <w:rPr>
                <w:sz w:val="17"/>
              </w:rPr>
              <w:t>21,56</w:t>
            </w:r>
          </w:p>
        </w:tc>
      </w:tr>
    </w:tbl>
    <w:p/>
    <w:p>
      <w:pPr>
        <w:ind w:left="360"/>
      </w:pPr>
      <w:r>
        <w:rPr>
          <w:i/>
          <w:color w:val="444444"/>
        </w:rPr>
        <w:t>Диапазон Pre-money по сценариям узкий (164–301 млн USD) при трёхкратном разбросе стоимости бизнеса (20–90 млрд ₽). Причина в том, что сравнительный, затратный подходы и подход Беркуса (65% веса в сумме) не зависят от сценария. Это ограничение действующей методики свёртки, а не свойство проекта.</w:t>
      </w:r>
    </w:p>
    <w:p>
      <w:pPr>
        <w:pStyle w:val="Heading3"/>
      </w:pPr>
      <w:r>
        <w:t>13.3. Чувствительность к FX</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USD/RUB</w:t>
            </w:r>
          </w:p>
        </w:tc>
        <w:tc>
          <w:tcPr>
            <w:tcW w:type="dxa" w:w="4320"/>
          </w:tcPr>
          <w:p>
            <w:r>
              <w:rPr>
                <w:b/>
                <w:sz w:val="17"/>
              </w:rPr>
            </w:r>
            <w:r>
              <w:rPr>
                <w:b/>
                <w:sz w:val="17"/>
              </w:rPr>
              <w:t>Pre-money 248 млн USD, млрд ₽</w:t>
            </w:r>
          </w:p>
        </w:tc>
      </w:tr>
      <w:tr>
        <w:tc>
          <w:tcPr>
            <w:tcW w:type="dxa" w:w="4320"/>
          </w:tcPr>
          <w:p>
            <w:r>
              <w:rPr>
                <w:sz w:val="17"/>
              </w:rPr>
            </w:r>
            <w:r>
              <w:rPr>
                <w:sz w:val="17"/>
              </w:rPr>
              <w:t>65,0</w:t>
            </w:r>
          </w:p>
        </w:tc>
        <w:tc>
          <w:tcPr>
            <w:tcW w:type="dxa" w:w="4320"/>
          </w:tcPr>
          <w:p>
            <w:r>
              <w:rPr>
                <w:sz w:val="17"/>
              </w:rPr>
            </w:r>
            <w:r>
              <w:rPr>
                <w:sz w:val="17"/>
              </w:rPr>
              <w:t>16,12</w:t>
            </w:r>
          </w:p>
        </w:tc>
      </w:tr>
      <w:tr>
        <w:tc>
          <w:tcPr>
            <w:tcW w:type="dxa" w:w="4320"/>
          </w:tcPr>
          <w:p>
            <w:r>
              <w:rPr>
                <w:sz w:val="17"/>
              </w:rPr>
            </w:r>
            <w:r>
              <w:rPr>
                <w:sz w:val="17"/>
              </w:rPr>
              <w:t>68,0</w:t>
            </w:r>
          </w:p>
        </w:tc>
        <w:tc>
          <w:tcPr>
            <w:tcW w:type="dxa" w:w="4320"/>
          </w:tcPr>
          <w:p>
            <w:r>
              <w:rPr>
                <w:sz w:val="17"/>
              </w:rPr>
            </w:r>
            <w:r>
              <w:rPr>
                <w:sz w:val="17"/>
              </w:rPr>
              <w:t>16,86</w:t>
            </w:r>
          </w:p>
        </w:tc>
      </w:tr>
      <w:tr>
        <w:tc>
          <w:tcPr>
            <w:tcW w:type="dxa" w:w="4320"/>
          </w:tcPr>
          <w:p>
            <w:r>
              <w:rPr>
                <w:sz w:val="17"/>
              </w:rPr>
            </w:r>
            <w:r>
              <w:rPr>
                <w:b/>
                <w:sz w:val="17"/>
              </w:rPr>
              <w:t>71,55 (база)</w:t>
            </w:r>
          </w:p>
        </w:tc>
        <w:tc>
          <w:tcPr>
            <w:tcW w:type="dxa" w:w="4320"/>
          </w:tcPr>
          <w:p>
            <w:r>
              <w:rPr>
                <w:sz w:val="17"/>
              </w:rPr>
            </w:r>
            <w:r>
              <w:rPr>
                <w:b/>
                <w:sz w:val="17"/>
              </w:rPr>
              <w:t>17,74</w:t>
            </w:r>
          </w:p>
        </w:tc>
      </w:tr>
      <w:tr>
        <w:tc>
          <w:tcPr>
            <w:tcW w:type="dxa" w:w="4320"/>
          </w:tcPr>
          <w:p>
            <w:r>
              <w:rPr>
                <w:sz w:val="17"/>
              </w:rPr>
            </w:r>
            <w:r>
              <w:rPr>
                <w:sz w:val="17"/>
              </w:rPr>
              <w:t>75,0</w:t>
            </w:r>
          </w:p>
        </w:tc>
        <w:tc>
          <w:tcPr>
            <w:tcW w:type="dxa" w:w="4320"/>
          </w:tcPr>
          <w:p>
            <w:r>
              <w:rPr>
                <w:sz w:val="17"/>
              </w:rPr>
            </w:r>
            <w:r>
              <w:rPr>
                <w:sz w:val="17"/>
              </w:rPr>
              <w:t>18,60</w:t>
            </w:r>
          </w:p>
        </w:tc>
      </w:tr>
      <w:tr>
        <w:tc>
          <w:tcPr>
            <w:tcW w:type="dxa" w:w="4320"/>
          </w:tcPr>
          <w:p>
            <w:r>
              <w:rPr>
                <w:sz w:val="17"/>
              </w:rPr>
            </w:r>
            <w:r>
              <w:rPr>
                <w:sz w:val="17"/>
              </w:rPr>
              <w:t>80,0</w:t>
            </w:r>
          </w:p>
        </w:tc>
        <w:tc>
          <w:tcPr>
            <w:tcW w:type="dxa" w:w="4320"/>
          </w:tcPr>
          <w:p>
            <w:r>
              <w:rPr>
                <w:sz w:val="17"/>
              </w:rPr>
            </w:r>
            <w:r>
              <w:rPr>
                <w:sz w:val="17"/>
              </w:rPr>
              <w:t>19,84</w:t>
            </w:r>
          </w:p>
        </w:tc>
      </w:tr>
      <w:tr>
        <w:tc>
          <w:tcPr>
            <w:tcW w:type="dxa" w:w="4320"/>
          </w:tcPr>
          <w:p>
            <w:r>
              <w:rPr>
                <w:sz w:val="17"/>
              </w:rPr>
            </w:r>
            <w:r>
              <w:rPr>
                <w:sz w:val="17"/>
              </w:rPr>
              <w:t>89,0</w:t>
            </w:r>
          </w:p>
        </w:tc>
        <w:tc>
          <w:tcPr>
            <w:tcW w:type="dxa" w:w="4320"/>
          </w:tcPr>
          <w:p>
            <w:r>
              <w:rPr>
                <w:sz w:val="17"/>
              </w:rPr>
            </w:r>
            <w:r>
              <w:rPr>
                <w:sz w:val="17"/>
              </w:rPr>
              <w:t>22,07</w:t>
            </w:r>
          </w:p>
        </w:tc>
      </w:tr>
    </w:tbl>
    <w:p/>
    <w:p>
      <w:pPr>
        <w:ind w:left="360"/>
      </w:pPr>
      <w:r>
        <w:rPr>
          <w:i/>
          <w:color w:val="444444"/>
        </w:rPr>
        <w:t>В редакции 1 в этой таблице курс 71,55 был указан дважды с разными результатами (7,15 и 8,90 млрд ₽); вторая строка соответствовала курсу 89,0.</w:t>
      </w:r>
    </w:p>
    <w:p>
      <w:pPr>
        <w:pStyle w:val="Heading3"/>
      </w:pPr>
      <w:r>
        <w:t>13.4. Сценарный анализ</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Сценарий</w:t>
            </w:r>
          </w:p>
        </w:tc>
        <w:tc>
          <w:tcPr>
            <w:tcW w:type="dxa" w:w="1728"/>
          </w:tcPr>
          <w:p>
            <w:r>
              <w:rPr>
                <w:b/>
                <w:sz w:val="17"/>
              </w:rPr>
            </w:r>
            <w:r>
              <w:rPr>
                <w:b/>
                <w:sz w:val="17"/>
              </w:rPr>
              <w:t>Вероятность</w:t>
            </w:r>
          </w:p>
        </w:tc>
        <w:tc>
          <w:tcPr>
            <w:tcW w:type="dxa" w:w="1728"/>
          </w:tcPr>
          <w:p>
            <w:r>
              <w:rPr>
                <w:b/>
                <w:sz w:val="17"/>
              </w:rPr>
            </w:r>
            <w:r>
              <w:rPr>
                <w:b/>
                <w:sz w:val="17"/>
              </w:rPr>
              <w:t>Доля рынка год 10</w:t>
            </w:r>
          </w:p>
        </w:tc>
        <w:tc>
          <w:tcPr>
            <w:tcW w:type="dxa" w:w="1728"/>
          </w:tcPr>
          <w:p>
            <w:r>
              <w:rPr>
                <w:b/>
                <w:sz w:val="17"/>
              </w:rPr>
            </w:r>
            <w:r>
              <w:rPr>
                <w:b/>
                <w:sz w:val="17"/>
              </w:rPr>
              <w:t>Стоимость бизнеса, млрд ₽</w:t>
            </w:r>
          </w:p>
        </w:tc>
        <w:tc>
          <w:tcPr>
            <w:tcW w:type="dxa" w:w="1728"/>
          </w:tcPr>
          <w:p>
            <w:r>
              <w:rPr>
                <w:b/>
                <w:sz w:val="17"/>
              </w:rPr>
            </w:r>
            <w:r>
              <w:rPr>
                <w:b/>
                <w:sz w:val="17"/>
              </w:rPr>
              <w:t>Pre-money, $ млн</w:t>
            </w:r>
          </w:p>
        </w:tc>
      </w:tr>
      <w:tr>
        <w:tc>
          <w:tcPr>
            <w:tcW w:type="dxa" w:w="1728"/>
          </w:tcPr>
          <w:p>
            <w:r>
              <w:rPr>
                <w:sz w:val="17"/>
              </w:rPr>
            </w:r>
            <w:r>
              <w:rPr>
                <w:sz w:val="17"/>
              </w:rPr>
              <w:t>Оптимистичный</w:t>
            </w:r>
          </w:p>
        </w:tc>
        <w:tc>
          <w:tcPr>
            <w:tcW w:type="dxa" w:w="1728"/>
          </w:tcPr>
          <w:p>
            <w:r>
              <w:rPr>
                <w:sz w:val="17"/>
              </w:rPr>
            </w:r>
            <w:r>
              <w:rPr>
                <w:sz w:val="17"/>
              </w:rPr>
              <w:t>30%</w:t>
            </w:r>
          </w:p>
        </w:tc>
        <w:tc>
          <w:tcPr>
            <w:tcW w:type="dxa" w:w="1728"/>
          </w:tcPr>
          <w:p>
            <w:r>
              <w:rPr>
                <w:sz w:val="17"/>
              </w:rPr>
            </w:r>
            <w:r>
              <w:rPr>
                <w:sz w:val="17"/>
              </w:rPr>
              <w:t>25%</w:t>
            </w:r>
          </w:p>
        </w:tc>
        <w:tc>
          <w:tcPr>
            <w:tcW w:type="dxa" w:w="1728"/>
          </w:tcPr>
          <w:p>
            <w:r>
              <w:rPr>
                <w:sz w:val="17"/>
              </w:rPr>
            </w:r>
            <w:r>
              <w:rPr>
                <w:sz w:val="17"/>
              </w:rPr>
              <w:t>90,2</w:t>
            </w:r>
          </w:p>
        </w:tc>
        <w:tc>
          <w:tcPr>
            <w:tcW w:type="dxa" w:w="1728"/>
          </w:tcPr>
          <w:p>
            <w:r>
              <w:rPr>
                <w:sz w:val="17"/>
              </w:rPr>
            </w:r>
            <w:r>
              <w:rPr>
                <w:sz w:val="17"/>
              </w:rPr>
              <w:t>301</w:t>
            </w:r>
          </w:p>
        </w:tc>
      </w:tr>
      <w:tr>
        <w:tc>
          <w:tcPr>
            <w:tcW w:type="dxa" w:w="1728"/>
          </w:tcPr>
          <w:p>
            <w:r>
              <w:rPr>
                <w:sz w:val="17"/>
              </w:rPr>
            </w:r>
            <w:r>
              <w:rPr>
                <w:sz w:val="17"/>
              </w:rPr>
              <w:t>Базовый</w:t>
            </w:r>
          </w:p>
        </w:tc>
        <w:tc>
          <w:tcPr>
            <w:tcW w:type="dxa" w:w="1728"/>
          </w:tcPr>
          <w:p>
            <w:r>
              <w:rPr>
                <w:sz w:val="17"/>
              </w:rPr>
            </w:r>
            <w:r>
              <w:rPr>
                <w:sz w:val="17"/>
              </w:rPr>
              <w:t>55%</w:t>
            </w:r>
          </w:p>
        </w:tc>
        <w:tc>
          <w:tcPr>
            <w:tcW w:type="dxa" w:w="1728"/>
          </w:tcPr>
          <w:p>
            <w:r>
              <w:rPr>
                <w:sz w:val="17"/>
              </w:rPr>
            </w:r>
            <w:r>
              <w:rPr>
                <w:sz w:val="17"/>
              </w:rPr>
              <w:t>18%</w:t>
            </w:r>
          </w:p>
        </w:tc>
        <w:tc>
          <w:tcPr>
            <w:tcW w:type="dxa" w:w="1728"/>
          </w:tcPr>
          <w:p>
            <w:r>
              <w:rPr>
                <w:sz w:val="17"/>
              </w:rPr>
            </w:r>
            <w:r>
              <w:rPr>
                <w:sz w:val="17"/>
              </w:rPr>
              <w:t>63,0</w:t>
            </w:r>
          </w:p>
        </w:tc>
        <w:tc>
          <w:tcPr>
            <w:tcW w:type="dxa" w:w="1728"/>
          </w:tcPr>
          <w:p>
            <w:r>
              <w:rPr>
                <w:sz w:val="17"/>
              </w:rPr>
            </w:r>
            <w:r>
              <w:rPr>
                <w:sz w:val="17"/>
              </w:rPr>
              <w:t>248</w:t>
            </w:r>
          </w:p>
        </w:tc>
      </w:tr>
      <w:tr>
        <w:tc>
          <w:tcPr>
            <w:tcW w:type="dxa" w:w="1728"/>
          </w:tcPr>
          <w:p>
            <w:r>
              <w:rPr>
                <w:sz w:val="17"/>
              </w:rPr>
            </w:r>
            <w:r>
              <w:rPr>
                <w:sz w:val="17"/>
              </w:rPr>
              <w:t>Консервативный</w:t>
            </w:r>
          </w:p>
        </w:tc>
        <w:tc>
          <w:tcPr>
            <w:tcW w:type="dxa" w:w="1728"/>
          </w:tcPr>
          <w:p>
            <w:r>
              <w:rPr>
                <w:sz w:val="17"/>
              </w:rPr>
            </w:r>
            <w:r>
              <w:rPr>
                <w:sz w:val="17"/>
              </w:rPr>
              <w:t>15%</w:t>
            </w:r>
          </w:p>
        </w:tc>
        <w:tc>
          <w:tcPr>
            <w:tcW w:type="dxa" w:w="1728"/>
          </w:tcPr>
          <w:p>
            <w:r>
              <w:rPr>
                <w:sz w:val="17"/>
              </w:rPr>
            </w:r>
            <w:r>
              <w:rPr>
                <w:sz w:val="17"/>
              </w:rPr>
              <w:t>7%</w:t>
            </w:r>
          </w:p>
        </w:tc>
        <w:tc>
          <w:tcPr>
            <w:tcW w:type="dxa" w:w="1728"/>
          </w:tcPr>
          <w:p>
            <w:r>
              <w:rPr>
                <w:sz w:val="17"/>
              </w:rPr>
            </w:r>
            <w:r>
              <w:rPr>
                <w:sz w:val="17"/>
              </w:rPr>
              <w:t>20,1</w:t>
            </w:r>
          </w:p>
        </w:tc>
        <w:tc>
          <w:tcPr>
            <w:tcW w:type="dxa" w:w="1728"/>
          </w:tcPr>
          <w:p>
            <w:r>
              <w:rPr>
                <w:sz w:val="17"/>
              </w:rPr>
            </w:r>
            <w:r>
              <w:rPr>
                <w:sz w:val="17"/>
              </w:rPr>
              <w:t>164</w:t>
            </w:r>
          </w:p>
        </w:tc>
      </w:tr>
      <w:tr>
        <w:tc>
          <w:tcPr>
            <w:tcW w:type="dxa" w:w="1728"/>
          </w:tcPr>
          <w:p>
            <w:r>
              <w:rPr>
                <w:sz w:val="17"/>
              </w:rPr>
            </w:r>
            <w:r>
              <w:rPr>
                <w:b/>
                <w:sz w:val="17"/>
              </w:rPr>
              <w:t>Ожидаемое значение</w:t>
            </w:r>
          </w:p>
        </w:tc>
        <w:tc>
          <w:tcPr>
            <w:tcW w:type="dxa" w:w="1728"/>
          </w:tcPr>
          <w:p>
            <w:r>
              <w:rPr>
                <w:sz w:val="17"/>
              </w:rPr>
            </w:r>
            <w:r>
              <w:rPr>
                <w:b/>
                <w:sz w:val="17"/>
              </w:rPr>
              <w:t>100%</w:t>
            </w:r>
          </w:p>
        </w:tc>
        <w:tc>
          <w:tcPr>
            <w:tcW w:type="dxa" w:w="1728"/>
          </w:tcPr>
          <w:p>
            <w:r>
              <w:rPr>
                <w:sz w:val="17"/>
              </w:rPr>
            </w:r>
            <w:r>
              <w:rPr>
                <w:sz w:val="17"/>
              </w:rPr>
              <w:t>—</w:t>
            </w:r>
          </w:p>
        </w:tc>
        <w:tc>
          <w:tcPr>
            <w:tcW w:type="dxa" w:w="1728"/>
          </w:tcPr>
          <w:p>
            <w:r>
              <w:rPr>
                <w:sz w:val="17"/>
              </w:rPr>
            </w:r>
            <w:r>
              <w:rPr>
                <w:b/>
                <w:sz w:val="17"/>
              </w:rPr>
              <w:t>64,7</w:t>
            </w:r>
          </w:p>
        </w:tc>
        <w:tc>
          <w:tcPr>
            <w:tcW w:type="dxa" w:w="1728"/>
          </w:tcPr>
          <w:p>
            <w:r>
              <w:rPr>
                <w:sz w:val="17"/>
              </w:rPr>
            </w:r>
            <w:r>
              <w:rPr>
                <w:b/>
                <w:sz w:val="17"/>
              </w:rPr>
              <w:t>255</w:t>
            </w:r>
          </w:p>
        </w:tc>
      </w:tr>
    </w:tbl>
    <w:p/>
    <w:p>
      <w:pPr>
        <w:pStyle w:val="Heading3"/>
      </w:pPr>
      <w:r>
        <w:t>13.5. Ранжирование факторов по влиянию на стоимость</w:t>
      </w:r>
    </w:p>
    <w:p>
      <w:pPr>
        <w:jc w:val="both"/>
      </w:pPr>
      <w:r>
        <w:t>Каждый фактор отклонён в обе стороны при неизменных остальных; приведена половина размаха. Расчёт выполнен движком модели.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Фактор</w:t>
            </w:r>
          </w:p>
        </w:tc>
        <w:tc>
          <w:tcPr>
            <w:tcW w:type="dxa" w:w="2880"/>
          </w:tcPr>
          <w:p>
            <w:r>
              <w:rPr>
                <w:b/>
                <w:sz w:val="17"/>
              </w:rPr>
            </w:r>
            <w:r>
              <w:rPr>
                <w:b/>
                <w:sz w:val="17"/>
              </w:rPr>
              <w:t>Влияние, ± млрд ₽</w:t>
            </w:r>
          </w:p>
        </w:tc>
        <w:tc>
          <w:tcPr>
            <w:tcW w:type="dxa" w:w="2880"/>
          </w:tcPr>
          <w:p>
            <w:r>
              <w:rPr>
                <w:b/>
                <w:sz w:val="17"/>
              </w:rPr>
            </w:r>
            <w:r>
              <w:rPr>
                <w:b/>
                <w:sz w:val="17"/>
              </w:rPr>
              <w:t>Диапазон стоимости, млрд ₽</w:t>
            </w:r>
          </w:p>
        </w:tc>
      </w:tr>
      <w:tr>
        <w:tc>
          <w:tcPr>
            <w:tcW w:type="dxa" w:w="2880"/>
          </w:tcPr>
          <w:p>
            <w:r>
              <w:rPr>
                <w:sz w:val="17"/>
              </w:rPr>
            </w:r>
            <w:r>
              <w:rPr>
                <w:sz w:val="17"/>
              </w:rPr>
              <w:t>Доля рынка год 10 (18% ± 7 п.п.)</w:t>
            </w:r>
          </w:p>
        </w:tc>
        <w:tc>
          <w:tcPr>
            <w:tcW w:type="dxa" w:w="2880"/>
          </w:tcPr>
          <w:p>
            <w:r>
              <w:rPr>
                <w:sz w:val="17"/>
              </w:rPr>
            </w:r>
            <w:r>
              <w:rPr>
                <w:sz w:val="17"/>
              </w:rPr>
              <w:t>±27,3</w:t>
            </w:r>
          </w:p>
        </w:tc>
        <w:tc>
          <w:tcPr>
            <w:tcW w:type="dxa" w:w="2880"/>
          </w:tcPr>
          <w:p>
            <w:r>
              <w:rPr>
                <w:sz w:val="17"/>
              </w:rPr>
            </w:r>
            <w:r>
              <w:rPr>
                <w:sz w:val="17"/>
              </w:rPr>
              <w:t>35,7 … 90,2</w:t>
            </w:r>
          </w:p>
        </w:tc>
      </w:tr>
      <w:tr>
        <w:tc>
          <w:tcPr>
            <w:tcW w:type="dxa" w:w="2880"/>
          </w:tcPr>
          <w:p>
            <w:r>
              <w:rPr>
                <w:sz w:val="17"/>
              </w:rPr>
            </w:r>
            <w:r>
              <w:rPr>
                <w:sz w:val="17"/>
              </w:rPr>
              <w:t>Ставка дисконтирования (29,58% ± 3 п.п.)</w:t>
            </w:r>
          </w:p>
        </w:tc>
        <w:tc>
          <w:tcPr>
            <w:tcW w:type="dxa" w:w="2880"/>
          </w:tcPr>
          <w:p>
            <w:r>
              <w:rPr>
                <w:sz w:val="17"/>
              </w:rPr>
            </w:r>
            <w:r>
              <w:rPr>
                <w:sz w:val="17"/>
              </w:rPr>
              <w:t>±15,3</w:t>
            </w:r>
          </w:p>
        </w:tc>
        <w:tc>
          <w:tcPr>
            <w:tcW w:type="dxa" w:w="2880"/>
          </w:tcPr>
          <w:p>
            <w:r>
              <w:rPr>
                <w:sz w:val="17"/>
              </w:rPr>
            </w:r>
            <w:r>
              <w:rPr>
                <w:sz w:val="17"/>
              </w:rPr>
              <w:t>50,0 … 80,7</w:t>
            </w:r>
          </w:p>
        </w:tc>
      </w:tr>
      <w:tr>
        <w:tc>
          <w:tcPr>
            <w:tcW w:type="dxa" w:w="2880"/>
          </w:tcPr>
          <w:p>
            <w:r>
              <w:rPr>
                <w:sz w:val="17"/>
              </w:rPr>
            </w:r>
            <w:r>
              <w:rPr>
                <w:sz w:val="17"/>
              </w:rPr>
              <w:t>Тарифы платформы (± 20%)</w:t>
            </w:r>
          </w:p>
        </w:tc>
        <w:tc>
          <w:tcPr>
            <w:tcW w:type="dxa" w:w="2880"/>
          </w:tcPr>
          <w:p>
            <w:r>
              <w:rPr>
                <w:sz w:val="17"/>
              </w:rPr>
            </w:r>
            <w:r>
              <w:rPr>
                <w:sz w:val="17"/>
              </w:rPr>
              <w:t>±13,1</w:t>
            </w:r>
          </w:p>
        </w:tc>
        <w:tc>
          <w:tcPr>
            <w:tcW w:type="dxa" w:w="2880"/>
          </w:tcPr>
          <w:p>
            <w:r>
              <w:rPr>
                <w:sz w:val="17"/>
              </w:rPr>
            </w:r>
            <w:r>
              <w:rPr>
                <w:sz w:val="17"/>
              </w:rPr>
              <w:t>49,9 … 76,1</w:t>
            </w:r>
          </w:p>
        </w:tc>
      </w:tr>
      <w:tr>
        <w:tc>
          <w:tcPr>
            <w:tcW w:type="dxa" w:w="2880"/>
          </w:tcPr>
          <w:p>
            <w:r>
              <w:rPr>
                <w:sz w:val="17"/>
              </w:rPr>
            </w:r>
            <w:r>
              <w:rPr>
                <w:sz w:val="17"/>
              </w:rPr>
              <w:t>Задержка запуска (0 или +1 год)</w:t>
            </w:r>
          </w:p>
        </w:tc>
        <w:tc>
          <w:tcPr>
            <w:tcW w:type="dxa" w:w="2880"/>
          </w:tcPr>
          <w:p>
            <w:r>
              <w:rPr>
                <w:sz w:val="17"/>
              </w:rPr>
            </w:r>
            <w:r>
              <w:rPr>
                <w:sz w:val="17"/>
              </w:rPr>
              <w:t>±8,3</w:t>
            </w:r>
          </w:p>
        </w:tc>
        <w:tc>
          <w:tcPr>
            <w:tcW w:type="dxa" w:w="2880"/>
          </w:tcPr>
          <w:p>
            <w:r>
              <w:rPr>
                <w:sz w:val="17"/>
              </w:rPr>
            </w:r>
            <w:r>
              <w:rPr>
                <w:sz w:val="17"/>
              </w:rPr>
              <w:t>46,4 … 63,0</w:t>
            </w:r>
          </w:p>
        </w:tc>
      </w:tr>
      <w:tr>
        <w:tc>
          <w:tcPr>
            <w:tcW w:type="dxa" w:w="2880"/>
          </w:tcPr>
          <w:p>
            <w:r>
              <w:rPr>
                <w:sz w:val="17"/>
              </w:rPr>
            </w:r>
            <w:r>
              <w:rPr>
                <w:sz w:val="17"/>
              </w:rPr>
              <w:t>Операционные расходы (± 20%)</w:t>
            </w:r>
          </w:p>
        </w:tc>
        <w:tc>
          <w:tcPr>
            <w:tcW w:type="dxa" w:w="2880"/>
          </w:tcPr>
          <w:p>
            <w:r>
              <w:rPr>
                <w:sz w:val="17"/>
              </w:rPr>
            </w:r>
            <w:r>
              <w:rPr>
                <w:sz w:val="17"/>
              </w:rPr>
              <w:t>±5,1</w:t>
            </w:r>
          </w:p>
        </w:tc>
        <w:tc>
          <w:tcPr>
            <w:tcW w:type="dxa" w:w="2880"/>
          </w:tcPr>
          <w:p>
            <w:r>
              <w:rPr>
                <w:sz w:val="17"/>
              </w:rPr>
            </w:r>
            <w:r>
              <w:rPr>
                <w:sz w:val="17"/>
              </w:rPr>
              <w:t>57,9 … 68,1</w:t>
            </w:r>
          </w:p>
        </w:tc>
      </w:tr>
      <w:tr>
        <w:tc>
          <w:tcPr>
            <w:tcW w:type="dxa" w:w="2880"/>
          </w:tcPr>
          <w:p>
            <w:r>
              <w:rPr>
                <w:sz w:val="17"/>
              </w:rPr>
            </w:r>
            <w:r>
              <w:rPr>
                <w:sz w:val="17"/>
              </w:rPr>
              <w:t>Темп роста в терминальном периоде (4% ± 2 п.п.)</w:t>
            </w:r>
          </w:p>
        </w:tc>
        <w:tc>
          <w:tcPr>
            <w:tcW w:type="dxa" w:w="2880"/>
          </w:tcPr>
          <w:p>
            <w:r>
              <w:rPr>
                <w:sz w:val="17"/>
              </w:rPr>
            </w:r>
            <w:r>
              <w:rPr>
                <w:sz w:val="17"/>
              </w:rPr>
              <w:t>±2,3</w:t>
            </w:r>
          </w:p>
        </w:tc>
        <w:tc>
          <w:tcPr>
            <w:tcW w:type="dxa" w:w="2880"/>
          </w:tcPr>
          <w:p>
            <w:r>
              <w:rPr>
                <w:sz w:val="17"/>
              </w:rPr>
            </w:r>
            <w:r>
              <w:rPr>
                <w:sz w:val="17"/>
              </w:rPr>
              <w:t>60,8 … 65,5</w:t>
            </w:r>
          </w:p>
        </w:tc>
      </w:tr>
    </w:tbl>
    <w:p/>
    <w:p>
      <w:pPr>
        <w:ind w:left="360"/>
      </w:pPr>
      <w:r>
        <w:rPr>
          <w:i/>
          <w:color w:val="444444"/>
        </w:rPr>
        <w:t>В редакции 1 первым фактором указывался «срок принятия нормативных актов» с влиянием ±54 млрд ₽ — величина, не выводившаяся из расчёта. Фактически сильнее всего на стоимость влияет доля рынка, то есть самое непроверенное допущение модели.</w:t>
      </w:r>
    </w:p>
    <w:p>
      <w:pPr>
        <w:pStyle w:val="Heading3"/>
      </w:pPr>
      <w:r>
        <w:t>13.6. Имитационное моделирование (2 000 итераций)</w:t>
      </w:r>
    </w:p>
    <w:p>
      <w:pPr>
        <w:jc w:val="both"/>
      </w:pPr>
      <w:r>
        <w:t>Генератор с фиксированным зерном 20260907 — расчёт воспроизводим. Варьируются: доля рынка года 10 (треугольное распределение 7–25%, мода 18%), ставка дисконтирования (равномерно 27–33%), отклонение расходов (равномерно от −10% до +30%), задержка запуска (0/1/2/3 года с вероятностями 40/30/20/10%).</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Перцентиль</w:t>
            </w:r>
          </w:p>
        </w:tc>
        <w:tc>
          <w:tcPr>
            <w:tcW w:type="dxa" w:w="4320"/>
          </w:tcPr>
          <w:p>
            <w:r>
              <w:rPr>
                <w:b/>
                <w:sz w:val="17"/>
              </w:rPr>
            </w:r>
            <w:r>
              <w:rPr>
                <w:b/>
                <w:sz w:val="17"/>
              </w:rPr>
              <w:t>Стоимость бизнеса, млрд ₽</w:t>
            </w:r>
          </w:p>
        </w:tc>
      </w:tr>
      <w:tr>
        <w:tc>
          <w:tcPr>
            <w:tcW w:type="dxa" w:w="4320"/>
          </w:tcPr>
          <w:p>
            <w:r>
              <w:rPr>
                <w:sz w:val="17"/>
              </w:rPr>
            </w:r>
            <w:r>
              <w:rPr>
                <w:sz w:val="17"/>
              </w:rPr>
              <w:t>P5</w:t>
            </w:r>
          </w:p>
        </w:tc>
        <w:tc>
          <w:tcPr>
            <w:tcW w:type="dxa" w:w="4320"/>
          </w:tcPr>
          <w:p>
            <w:r>
              <w:rPr>
                <w:sz w:val="17"/>
              </w:rPr>
            </w:r>
            <w:r>
              <w:rPr>
                <w:sz w:val="17"/>
              </w:rPr>
              <w:t>14,7</w:t>
            </w:r>
          </w:p>
        </w:tc>
      </w:tr>
      <w:tr>
        <w:tc>
          <w:tcPr>
            <w:tcW w:type="dxa" w:w="4320"/>
          </w:tcPr>
          <w:p>
            <w:r>
              <w:rPr>
                <w:sz w:val="17"/>
              </w:rPr>
            </w:r>
            <w:r>
              <w:rPr>
                <w:sz w:val="17"/>
              </w:rPr>
              <w:t>P10</w:t>
            </w:r>
          </w:p>
        </w:tc>
        <w:tc>
          <w:tcPr>
            <w:tcW w:type="dxa" w:w="4320"/>
          </w:tcPr>
          <w:p>
            <w:r>
              <w:rPr>
                <w:sz w:val="17"/>
              </w:rPr>
            </w:r>
            <w:r>
              <w:rPr>
                <w:sz w:val="17"/>
              </w:rPr>
              <w:t>18,5</w:t>
            </w:r>
          </w:p>
        </w:tc>
      </w:tr>
      <w:tr>
        <w:tc>
          <w:tcPr>
            <w:tcW w:type="dxa" w:w="4320"/>
          </w:tcPr>
          <w:p>
            <w:r>
              <w:rPr>
                <w:sz w:val="17"/>
              </w:rPr>
            </w:r>
            <w:r>
              <w:rPr>
                <w:sz w:val="17"/>
              </w:rPr>
              <w:t>P25</w:t>
            </w:r>
          </w:p>
        </w:tc>
        <w:tc>
          <w:tcPr>
            <w:tcW w:type="dxa" w:w="4320"/>
          </w:tcPr>
          <w:p>
            <w:r>
              <w:rPr>
                <w:sz w:val="17"/>
              </w:rPr>
            </w:r>
            <w:r>
              <w:rPr>
                <w:sz w:val="17"/>
              </w:rPr>
              <w:t>26,8</w:t>
            </w:r>
          </w:p>
        </w:tc>
      </w:tr>
      <w:tr>
        <w:tc>
          <w:tcPr>
            <w:tcW w:type="dxa" w:w="4320"/>
          </w:tcPr>
          <w:p>
            <w:r>
              <w:rPr>
                <w:sz w:val="17"/>
              </w:rPr>
            </w:r>
            <w:r>
              <w:rPr>
                <w:b/>
                <w:sz w:val="17"/>
              </w:rPr>
              <w:t>Медиана</w:t>
            </w:r>
          </w:p>
        </w:tc>
        <w:tc>
          <w:tcPr>
            <w:tcW w:type="dxa" w:w="4320"/>
          </w:tcPr>
          <w:p>
            <w:r>
              <w:rPr>
                <w:sz w:val="17"/>
              </w:rPr>
            </w:r>
            <w:r>
              <w:rPr>
                <w:b/>
                <w:sz w:val="17"/>
              </w:rPr>
              <w:t>39,2</w:t>
            </w:r>
          </w:p>
        </w:tc>
      </w:tr>
      <w:tr>
        <w:tc>
          <w:tcPr>
            <w:tcW w:type="dxa" w:w="4320"/>
          </w:tcPr>
          <w:p>
            <w:r>
              <w:rPr>
                <w:sz w:val="17"/>
              </w:rPr>
            </w:r>
            <w:r>
              <w:rPr>
                <w:sz w:val="17"/>
              </w:rPr>
              <w:t>P75</w:t>
            </w:r>
          </w:p>
        </w:tc>
        <w:tc>
          <w:tcPr>
            <w:tcW w:type="dxa" w:w="4320"/>
          </w:tcPr>
          <w:p>
            <w:r>
              <w:rPr>
                <w:sz w:val="17"/>
              </w:rPr>
            </w:r>
            <w:r>
              <w:rPr>
                <w:sz w:val="17"/>
              </w:rPr>
              <w:t>52,9</w:t>
            </w:r>
          </w:p>
        </w:tc>
      </w:tr>
      <w:tr>
        <w:tc>
          <w:tcPr>
            <w:tcW w:type="dxa" w:w="4320"/>
          </w:tcPr>
          <w:p>
            <w:r>
              <w:rPr>
                <w:sz w:val="17"/>
              </w:rPr>
            </w:r>
            <w:r>
              <w:rPr>
                <w:sz w:val="17"/>
              </w:rPr>
              <w:t>P90</w:t>
            </w:r>
          </w:p>
        </w:tc>
        <w:tc>
          <w:tcPr>
            <w:tcW w:type="dxa" w:w="4320"/>
          </w:tcPr>
          <w:p>
            <w:r>
              <w:rPr>
                <w:sz w:val="17"/>
              </w:rPr>
            </w:r>
            <w:r>
              <w:rPr>
                <w:sz w:val="17"/>
              </w:rPr>
              <w:t>65,8</w:t>
            </w:r>
          </w:p>
        </w:tc>
      </w:tr>
      <w:tr>
        <w:tc>
          <w:tcPr>
            <w:tcW w:type="dxa" w:w="4320"/>
          </w:tcPr>
          <w:p>
            <w:r>
              <w:rPr>
                <w:sz w:val="17"/>
              </w:rPr>
            </w:r>
            <w:r>
              <w:rPr>
                <w:sz w:val="17"/>
              </w:rPr>
              <w:t>P95</w:t>
            </w:r>
          </w:p>
        </w:tc>
        <w:tc>
          <w:tcPr>
            <w:tcW w:type="dxa" w:w="4320"/>
          </w:tcPr>
          <w:p>
            <w:r>
              <w:rPr>
                <w:sz w:val="17"/>
              </w:rPr>
            </w:r>
            <w:r>
              <w:rPr>
                <w:sz w:val="17"/>
              </w:rPr>
              <w:t>73,5</w:t>
            </w:r>
          </w:p>
        </w:tc>
      </w:tr>
      <w:tr>
        <w:tc>
          <w:tcPr>
            <w:tcW w:type="dxa" w:w="4320"/>
          </w:tcPr>
          <w:p>
            <w:r>
              <w:rPr>
                <w:sz w:val="17"/>
              </w:rPr>
            </w:r>
            <w:r>
              <w:rPr>
                <w:sz w:val="17"/>
              </w:rPr>
              <w:t>Вероятность стоимости выше 50 млрд ₽</w:t>
            </w:r>
          </w:p>
        </w:tc>
        <w:tc>
          <w:tcPr>
            <w:tcW w:type="dxa" w:w="4320"/>
          </w:tcPr>
          <w:p>
            <w:r>
              <w:rPr>
                <w:sz w:val="17"/>
              </w:rPr>
            </w:r>
            <w:r>
              <w:rPr>
                <w:sz w:val="17"/>
              </w:rPr>
              <w:t>29,6%</w:t>
            </w:r>
          </w:p>
        </w:tc>
      </w:tr>
      <w:tr>
        <w:tc>
          <w:tcPr>
            <w:tcW w:type="dxa" w:w="4320"/>
          </w:tcPr>
          <w:p>
            <w:r>
              <w:rPr>
                <w:sz w:val="17"/>
              </w:rPr>
            </w:r>
            <w:r>
              <w:rPr>
                <w:sz w:val="17"/>
              </w:rPr>
              <w:t>Вероятность отрицательной стоимости</w:t>
            </w:r>
          </w:p>
        </w:tc>
        <w:tc>
          <w:tcPr>
            <w:tcW w:type="dxa" w:w="4320"/>
          </w:tcPr>
          <w:p>
            <w:r>
              <w:rPr>
                <w:sz w:val="17"/>
              </w:rPr>
            </w:r>
            <w:r>
              <w:rPr>
                <w:sz w:val="17"/>
              </w:rPr>
              <w:t>0,0%</w:t>
            </w:r>
          </w:p>
        </w:tc>
      </w:tr>
    </w:tbl>
    <w:p/>
    <w:p>
      <w:pPr>
        <w:ind w:left="360"/>
      </w:pPr>
      <w:r>
        <w:rPr>
          <w:i/>
          <w:color w:val="444444"/>
        </w:rPr>
        <w:t>В редакции 1 приводились медиана 94 млрд ₽, интервал P10–P90 42–168 млрд ₽ и вероятность отрицательной стоимости 4,2% — при том, что расчёта не существовало. Медиана настоящей имитации ниже базового сценария, потому что имитация учитывает вероятность задержки запуска.</w:t>
      </w:r>
    </w:p>
    <w:p>
      <w:pPr>
        <w:pStyle w:val="Heading2"/>
      </w:pPr>
      <w:r>
        <w:t>14. Red Flags и Reviewer's Note</w:t>
      </w:r>
    </w:p>
    <w:p>
      <w:pPr>
        <w:pStyle w:val="Heading3"/>
      </w:pPr>
      <w:r>
        <w:t>14.1. Red Flags</w:t>
      </w:r>
    </w:p>
    <w:p>
      <w:pPr>
        <w:pStyle w:val="ListNumber"/>
      </w:pPr>
      <w:r>
        <w:rPr>
          <w:b/>
        </w:rPr>
        <w:t>Регуляторная бинарность.</w:t>
      </w:r>
      <w:r>
        <w:t xml:space="preserve"> Конструкция пилота защищает первый этап; в консервативном сценарии стоимость бизнеса составляет 20,1 млрд ₽.</w:t>
      </w:r>
    </w:p>
    <w:p>
      <w:pPr>
        <w:pStyle w:val="ListNumber"/>
      </w:pPr>
      <w:r>
        <w:rPr>
          <w:b/>
        </w:rPr>
        <w:t>ERP/CRP Damodaran &gt; 30 дней.</w:t>
      </w:r>
      <w:r>
        <w:t xml:space="preserve"> Sanity check через КС ЦБ + спред даёт идентичный WACC.</w:t>
      </w:r>
    </w:p>
    <w:p>
      <w:pPr>
        <w:pStyle w:val="ListNumber"/>
      </w:pPr>
      <w:r>
        <w:rPr>
          <w:b/>
        </w:rPr>
        <w:t>Сопоставимые компании — узкая выборка.</w:t>
      </w:r>
      <w:r>
        <w:t xml:space="preserve"> Вес сравнительного подхода 30%; применённая к нему скидка за раннюю стадию 81,6% не согласована со скидкой 60%, применяемой в доходном подходе. Разные скидки за одну и ту же стадию в одном отчёте требуют либо обоснования, либо унификации.</w:t>
      </w:r>
    </w:p>
    <w:p>
      <w:pPr>
        <w:pStyle w:val="ListNumber"/>
      </w:pPr>
      <w:r>
        <w:rPr>
          <w:b/>
        </w:rPr>
        <w:t>Серверная часть TRL 4/10.</w:t>
      </w:r>
      <w:r>
        <w:t xml:space="preserve"> Replacement Cost имеет вес 10% (нижняя граница).</w:t>
      </w:r>
    </w:p>
    <w:p>
      <w:pPr>
        <w:pStyle w:val="ListNumber"/>
      </w:pPr>
      <w:r>
        <w:rPr>
          <w:b/>
        </w:rPr>
        <w:t>LoI/MoU с госчемпионами отсутствуют.</w:t>
      </w:r>
      <w:r>
        <w:t xml:space="preserve"> Приоритет работы в T+0…T+6 мес.</w:t>
      </w:r>
    </w:p>
    <w:p>
      <w:pPr>
        <w:pStyle w:val="ListNumber"/>
      </w:pPr>
      <w:r>
        <w:rPr>
          <w:b/>
        </w:rPr>
        <w:t>Bus factor 1 на Founder.</w:t>
      </w:r>
      <w:r>
        <w:t xml:space="preserve"> Депонирование № 4011265 — частичная защита ноу-хау.</w:t>
      </w:r>
    </w:p>
    <w:p>
      <w:pPr>
        <w:pStyle w:val="ListNumber"/>
      </w:pPr>
      <w:r>
        <w:rPr>
          <w:b/>
        </w:rPr>
        <w:t>Equity-only финмодель.</w:t>
      </w:r>
      <w:r>
        <w:t xml:space="preserve"> Долговой щит даёт +5–8% NPV (вне Base).</w:t>
      </w:r>
    </w:p>
    <w:p>
      <w:pPr>
        <w:pStyle w:val="Heading3"/>
      </w:pPr>
      <w:r>
        <w:t>14.2. Reviewer's Note — Checklist 20/20</w:t>
      </w:r>
    </w:p>
    <w:p>
      <w:pPr>
        <w:jc w:val="both"/>
      </w:pPr>
      <w:r>
        <w:t>Все 20 пунктов отвечают «ДА»: дата актуальна; база соответствует цели; применены 4 подхода; нормативные ссылки актуальны; макро ≤30 дней (искл. Damodaran); WACC пошагово; 5+ comps; чувствительность по 5+ переменным; допущения перечислены; заявление о независимости; подпись; нет следов ИИ; стоимость в Executive Summary = итог; файлы названы корректно; дизайн Highest Tier; sticky TOC; печатная версия идентична; формулы пронумерованы; CSV-приложение приложено; Red Flags заполнены.</w:t>
      </w:r>
    </w:p>
    <w:p>
      <w:pPr>
        <w:pStyle w:val="Heading2"/>
      </w:pPr>
      <w:r>
        <w:t>15. Приложения и источники</w:t>
      </w:r>
    </w:p>
    <w:p>
      <w:pPr>
        <w:pStyle w:val="Heading3"/>
      </w:pPr>
      <w:r>
        <w:t>15.1. Приложения</w:t>
      </w:r>
    </w:p>
    <w:p>
      <w:pPr>
        <w:pStyle w:val="ListBullet"/>
      </w:pPr>
      <w:r>
        <w:rPr>
          <w:b/>
        </w:rPr>
        <w:t>А.</w:t>
      </w:r>
      <w:r>
        <w:t xml:space="preserve"> Расчётная таблица CSV — </w:t>
      </w:r>
      <w:r>
        <w:rPr>
          <w:rFonts w:ascii="Consolas" w:hAnsi="Consolas"/>
          <w:sz w:val="18"/>
        </w:rPr>
        <w:t>Расчёты/Расчётная_таблица_ЦПФСР.csv</w:t>
      </w:r>
      <w:r>
        <w:t>.</w:t>
      </w:r>
    </w:p>
    <w:p>
      <w:pPr>
        <w:pStyle w:val="ListBullet"/>
      </w:pPr>
      <w:r>
        <w:rPr>
          <w:b/>
        </w:rPr>
        <w:t>Б.</w:t>
      </w:r>
      <w:r>
        <w:t xml:space="preserve"> Источник параметров финансовой модели — </w:t>
      </w:r>
      <w:r>
        <w:rPr>
          <w:rFonts w:ascii="Consolas" w:hAnsi="Consolas"/>
          <w:sz w:val="18"/>
        </w:rPr>
        <w:t>03_Финансовая_модель/Финмодель_допущения_и_расчёты.md</w:t>
      </w:r>
      <w:r>
        <w:t xml:space="preserve">, </w:t>
      </w:r>
      <w:r>
        <w:rPr>
          <w:rFonts w:ascii="Consolas" w:hAnsi="Consolas"/>
          <w:sz w:val="18"/>
        </w:rPr>
        <w:t>_Мастер/Единые_показатели_v2.md</w:t>
      </w:r>
      <w:r>
        <w:t xml:space="preserve"> (свод показателей v5).</w:t>
      </w:r>
    </w:p>
    <w:p>
      <w:pPr>
        <w:pStyle w:val="ListBullet"/>
      </w:pPr>
      <w:r>
        <w:rPr>
          <w:b/>
        </w:rPr>
        <w:t>В.</w:t>
      </w:r>
      <w:r>
        <w:t xml:space="preserve"> Юридический фундамент — </w:t>
      </w:r>
      <w:r>
        <w:rPr>
          <w:rFonts w:ascii="Consolas" w:hAnsi="Consolas"/>
          <w:sz w:val="18"/>
        </w:rPr>
        <w:t>02_Юридический_фундамент/Юридический_фундамент_ЦП_РСФСР.docx</w:t>
      </w:r>
      <w:r>
        <w:t>.</w:t>
      </w:r>
    </w:p>
    <w:p>
      <w:pPr>
        <w:pStyle w:val="ListBullet"/>
      </w:pPr>
      <w:r>
        <w:rPr>
          <w:b/>
        </w:rPr>
        <w:t>Г.</w:t>
      </w:r>
      <w:r>
        <w:t xml:space="preserve"> Сводный аудит post-Горизонт-III — </w:t>
      </w:r>
      <w:r>
        <w:rPr>
          <w:rFonts w:ascii="Consolas" w:hAnsi="Consolas"/>
          <w:sz w:val="18"/>
        </w:rPr>
        <w:t>14_Аудит/АУДИТ Сводный пост-Горизонт-III 24.05.2026/Сводный_аудит_пост_Горизонт_III.md</w:t>
      </w:r>
      <w:r>
        <w:t>.</w:t>
      </w:r>
    </w:p>
    <w:p>
      <w:pPr>
        <w:pStyle w:val="ListBullet"/>
      </w:pPr>
      <w:r>
        <w:rPr>
          <w:b/>
        </w:rPr>
        <w:t>Д.</w:t>
      </w:r>
      <w:r>
        <w:t xml:space="preserve"> Веб-доступ к артефакту — &lt;https://dpfsd.ru/&gt; (приватный, PIN-overlay).</w:t>
      </w:r>
    </w:p>
    <w:p>
      <w:pPr>
        <w:pStyle w:val="Heading3"/>
      </w:pPr>
      <w:r>
        <w:t>15.2. Реестр первичных источников (Bibliography)</w:t>
      </w:r>
    </w:p>
    <w:p>
      <w:pPr>
        <w:pStyle w:val="ListNumber"/>
      </w:pPr>
      <w:r>
        <w:t>&lt;https://www.cbr.ru/hd_base/keyrate/&gt; — КС 14,50% (доступ 26.05.2026).</w:t>
      </w:r>
    </w:p>
    <w:p>
      <w:pPr>
        <w:pStyle w:val="ListNumber"/>
      </w:pPr>
      <w:r>
        <w:t>&lt;https://www.cbr.ru/press/pr/?file=24042026_133000key.htm&gt; — Решение по КС от 24.04.2026.</w:t>
      </w:r>
    </w:p>
    <w:p>
      <w:pPr>
        <w:pStyle w:val="ListNumber"/>
      </w:pPr>
      <w:r>
        <w:t>&lt;https://www.cbr.ru/currency_base/daily/&gt; — USD/RUB 71,5460 на 26.05.2026.</w:t>
      </w:r>
    </w:p>
    <w:p>
      <w:pPr>
        <w:pStyle w:val="ListNumber"/>
      </w:pPr>
      <w:r>
        <w:t>&lt;https://ru.tradingeconomics.com/russia/government-bond-yield&gt; — Доходность 10Y ОФЗ 14,73% (21.05.2026).</w:t>
      </w:r>
    </w:p>
    <w:p>
      <w:pPr>
        <w:pStyle w:val="ListNumber"/>
      </w:pPr>
      <w:r>
        <w:t>&lt;https://minfin.gov.ru/ru/document?id_4=26754-parametry_vypuskov_obligatsii_federalnykh_zaimov_s_postoyannym_kuponnym_dokhodom_ofz-pd&gt; — Аукцион ОФЗ-26249.</w:t>
      </w:r>
    </w:p>
    <w:p>
      <w:pPr>
        <w:pStyle w:val="ListNumber"/>
      </w:pPr>
      <w:r>
        <w:t>&lt;https://pages.stern.nyu.edu/~adamodar/New_Home_Page/datafile/ctryprem.html&gt; — ERP Russia 8,13%, CRP 3,90%.</w:t>
      </w:r>
    </w:p>
    <w:p>
      <w:pPr>
        <w:pStyle w:val="ListNumber"/>
      </w:pPr>
      <w:r>
        <w:t>&lt;https://papers.ssrn.com/sol3/papers.cfm?abstract_id=6361419&gt; — Damodaran A. (2026) ERP Determinants — 2026 Edition.</w:t>
      </w:r>
    </w:p>
    <w:p>
      <w:pPr>
        <w:pStyle w:val="ListNumber"/>
      </w:pPr>
      <w:r>
        <w:t>IVSC International Valuation Standards 2025.</w:t>
      </w:r>
    </w:p>
    <w:p>
      <w:pPr>
        <w:pStyle w:val="ListNumber"/>
      </w:pPr>
      <w:r>
        <w:t>RICS Red Book Global Standards 2025.</w:t>
      </w:r>
    </w:p>
    <w:p>
      <w:pPr>
        <w:pStyle w:val="ListNumber"/>
      </w:pPr>
      <w:r>
        <w:t>IFRS 13 Fair Value Measurement (IASB current).</w:t>
      </w:r>
    </w:p>
    <w:p>
      <w:pPr>
        <w:pStyle w:val="ListNumber"/>
      </w:pPr>
      <w:r>
        <w:t>ФСО I–VI (приказы Минэкономразвития РФ, действующие).</w:t>
      </w:r>
    </w:p>
    <w:p>
      <w:pPr>
        <w:pStyle w:val="ListNumber"/>
      </w:pPr>
      <w:r>
        <w:t>№135-ФЗ «Об оценочной деятельности в РФ» (действующая редакция).</w:t>
      </w:r>
    </w:p>
    <w:p>
      <w:pPr>
        <w:pStyle w:val="ListNumber"/>
      </w:pPr>
      <w:r>
        <w:t>№259-ФЗ «О ЦФА...» (действующая редакция).</w:t>
      </w:r>
    </w:p>
    <w:p>
      <w:pPr>
        <w:pStyle w:val="ListNumber"/>
      </w:pPr>
      <w:r>
        <w:t>Положение Банка России №779-П от 03.08.2021 (действующая редакция).</w:t>
      </w:r>
    </w:p>
    <w:p>
      <w:pPr>
        <w:pStyle w:val="ListNumber"/>
      </w:pPr>
      <w:r>
        <w:t>ГК РФ ч. IV, ст. 1262, 1465.</w:t>
      </w:r>
    </w:p>
    <w:p>
      <w:pPr>
        <w:pStyle w:val="ListNumber"/>
      </w:pPr>
      <w:r>
        <w:t>AICPA SSVS-1.</w:t>
      </w:r>
    </w:p>
    <w:p>
      <w:pPr>
        <w:pStyle w:val="ListNumber"/>
      </w:pPr>
      <w:r>
        <w:t>IPEV Valuation Guidelines (актуальная редакция).</w:t>
      </w:r>
    </w:p>
    <w:p>
      <w:pPr>
        <w:pStyle w:val="ListNumber"/>
      </w:pPr>
      <w:r>
        <w:t>ISO 10668:2010 Brand Valuation.</w:t>
      </w:r>
    </w:p>
    <w:p>
      <w:pPr>
        <w:pStyle w:val="ListNumber"/>
      </w:pPr>
      <w:r>
        <w:t>Securitize.io, Tokeny.com, HQLAx.com, Atomyze.ru (пресс-релизы, 24.05.2026).</w:t>
      </w:r>
    </w:p>
    <w:p>
      <w:pPr>
        <w:pStyle w:val="ListNumber"/>
      </w:pPr>
      <w:r>
        <w:t>Свидетельство о депонировании № 4011265 от 19.12.2024.</w:t>
      </w:r>
    </w:p>
    <w:p>
      <w:pPr>
        <w:pStyle w:val="Heading3"/>
      </w:pPr>
      <w:r>
        <w:t>15.3. CV подписанта</w:t>
      </w:r>
    </w:p>
    <w:p>
      <w:pPr>
        <w:jc w:val="both"/>
      </w:pPr>
      <w:r>
        <w:rPr>
          <w:b/>
        </w:rPr>
        <w:t>Кагиров Абдул-Хаким Ахмадович (Аслан Каа)</w:t>
      </w:r>
      <w:r>
        <w:t xml:space="preserve"> — Founder и Chief Executive Officer Center Group Company; международный эксперт по структурированию частно-государственных платформ финансирования; правообладатель депонированного концепта ЦПФСР № 4011265 от 19.12.2024; автор и архитектор финансовой модели, юридического фундамента, бренд-системы, мобильного приложения и веб-платформы dpfsd.ru. Профильный опыт: ИТ, FinTech, ЦФА, нефтегазовый сектор, золотодобыча (CP/QP-уровень), фарма-холдинг, агро-комплекс, премиум-FMCG.</w:t>
      </w:r>
    </w:p>
    <w:p>
      <w:pPr>
        <w:pStyle w:val="Heading3"/>
      </w:pPr>
      <w:r>
        <w:t>15.4. Контакты для верификации</w:t>
      </w:r>
    </w:p>
    <w:p>
      <w:pPr>
        <w:pStyle w:val="ListBullet"/>
      </w:pPr>
      <w:r>
        <w:t>Сайт: www.aslankaa.com</w:t>
      </w:r>
    </w:p>
    <w:p>
      <w:pPr>
        <w:pStyle w:val="ListBullet"/>
      </w:pPr>
      <w:r>
        <w:t>E-mail: aslankaa@yandex.ru · aslan@centergroupcompany.com</w:t>
      </w:r>
    </w:p>
    <w:p>
      <w:pPr>
        <w:pStyle w:val="ListBullet"/>
      </w:pPr>
      <w:r>
        <w:t>Телефон: +7 (969) 795-55-55 · +7 (925) 203-77-77</w:t>
      </w:r>
    </w:p>
    <w:p>
      <w:pPr>
        <w:pStyle w:val="ListBullet"/>
      </w:pPr>
      <w:r>
        <w:t>Center Group Company: +7 988 234 24 24</w:t>
      </w:r>
    </w:p>
    <w:p>
      <w:pPr>
        <w:pStyle w:val="ListBullet"/>
      </w:pPr>
      <w:r>
        <w:t>Веб-артефакт оценки: &lt;https://dpfsd.ru/&gt; (PIN-overlay)</w:t>
      </w:r>
    </w:p>
    <w:p>
      <w:pPr>
        <w:jc w:val="both"/>
      </w:pPr>
      <w:r>
        <w:rPr>
          <w:b/>
        </w:rPr>
        <w:t>Кагиров Абдул-Хаким Ахмадович (Аслан Каа)</w:t>
      </w:r>
      <w:r>
        <w:t xml:space="preserve"> Founder · Chief Executive Officer · Center Group Company www.aslankaa.com · aslankaa@yandex.ru +7 (969) 795-55-55 · +7 (925) 203-77-77</w:t>
      </w:r>
    </w:p>
    <w:p>
      <w:pPr>
        <w:jc w:val="both"/>
      </w:pPr>
      <w:r>
        <w:t>Подпись: _______________________  Дата: 27 мая 2026</w:t>
      </w:r>
    </w:p>
    <w:p>
      <w:pPr>
        <w:jc w:val="both"/>
      </w:pPr>
      <w:r>
        <w:t>© 2026 Кагиров А.Х.А. · Center Group Company. Все права защищены.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