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Единые показатели проекта · v5 (07.09.2026)</w:t>
      </w:r>
    </w:p>
    <w:p>
      <w:pPr>
        <w:jc w:val="both"/>
      </w:pPr>
      <w:r>
        <w:t>Единый источник значений для всех документов проекта. Любая цифра в бизнес-плане, отчёте об оценке, презентациях и на сайте должна совпадать с этим сводом.</w:t>
      </w:r>
    </w:p>
    <w:p>
      <w:pPr>
        <w:ind w:left="360"/>
      </w:pPr>
      <w:r>
        <w:rPr>
          <w:b/>
          <w:i/>
          <w:color w:val="444444"/>
        </w:rPr>
        <w:t>Свод собирается программно</w:t>
      </w:r>
      <w:r>
        <w:rPr>
          <w:i/>
          <w:color w:val="444444"/>
        </w:rPr>
        <w:t xml:space="preserve"> из </w:t>
      </w:r>
      <w:r>
        <w:rPr>
          <w:rFonts w:ascii="Consolas" w:hAnsi="Consolas"/>
          <w:i/>
          <w:color w:val="444444"/>
          <w:sz w:val="18"/>
        </w:rPr>
        <w:t>03_Финансовая_модель/Модель/assumptions.json</w:t>
      </w:r>
      <w:r>
        <w:rPr>
          <w:i/>
          <w:color w:val="444444"/>
        </w:rPr>
        <w:t xml:space="preserve"> скриптом </w:t>
      </w:r>
      <w:r>
        <w:rPr>
          <w:rFonts w:ascii="Consolas" w:hAnsi="Consolas"/>
          <w:i/>
          <w:color w:val="444444"/>
          <w:sz w:val="18"/>
        </w:rPr>
        <w:t>собрать_SoT.py</w:t>
      </w:r>
      <w:r>
        <w:rPr>
          <w:i/>
          <w:color w:val="444444"/>
        </w:rPr>
        <w:t>. Править цифры здесь вручную нельзя.</w:t>
      </w:r>
    </w:p>
    <w:p>
      <w:pPr>
        <w:jc w:val="both"/>
      </w:pPr>
      <w:r>
        <w:rPr>
          <w:b/>
        </w:rPr>
        <w:t>Что изменилось v4 → v5.</w:t>
      </w:r>
      <w:r>
        <w:t xml:space="preserve"> Финансовая модель пересчитана заново: итог выручки приведён к сумме строк, транзитные услуги оценщиков и страховщиков выведены из выручки, ставка налога на прибыль поднята с 20% до 25%, учтён перенос убытков, фонд оплаты труда выведен из численности и оклада, горизонт сдвинут на 2027–2036 годы, терминальная стоимость считается одним методом, скидка за стадию применяется один раз. Подробности — раздел «Что изменилось» в финансовой модели.</w:t>
      </w:r>
    </w:p>
    <w:p>
      <w:pPr>
        <w:pStyle w:val="Heading2"/>
      </w:pPr>
      <w:r>
        <w:t>1. Макроэкономическая база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Значение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Дата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Ключевая ставка Банка России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14,00%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07.09.2026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Доходность 10-летних ОФЗ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14,73%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21.05.2026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Премия за рыночный риск (ERP)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8,13%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Damodaran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Бета (финансовые услуги)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1,15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Damodaran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Курс USD/RUB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71,55 ₽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26.05.2026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Целевая инфляция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4%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ориентир Банка России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Ставка дисконтирования (WACC)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29,58%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расчёт</w:t>
            </w:r>
          </w:p>
        </w:tc>
      </w:tr>
    </w:tbl>
    <w:p/>
    <w:p>
      <w:pPr>
        <w:ind w:left="360"/>
      </w:pPr>
      <w:r>
        <w:rPr>
          <w:i/>
          <w:color w:val="444444"/>
        </w:rPr>
        <w:t>Ключевая ставка обновлена на дату свода. Доходность ОФЗ и курс зафиксированы на май 2026 года — перед переговорами обновить.</w:t>
      </w:r>
    </w:p>
    <w:p>
      <w:pPr>
        <w:pStyle w:val="Heading2"/>
      </w:pPr>
      <w:r>
        <w:t>2. Операционные показатели, млн 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Год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2027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2028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2029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2030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2031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2032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2033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2034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2035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2036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Выручка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1 310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6 519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17 791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39 021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56 858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76 685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98 345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120 874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142 615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Операционные расходы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720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1 505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2 959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5 779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10 826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15 092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19 829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25 006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30 325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35 503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EBITDA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−720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−195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3 560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12 012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28 195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41 766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56 856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73 339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90 549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107 112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Капитальные вложения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300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420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400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550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1 800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2 400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1 600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1 800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2 300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2 000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Свободный денежный поток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−1 020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−680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2 315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7 955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18 409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28 242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40 317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52 442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64 873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77 692</w:t>
            </w:r>
          </w:p>
        </w:tc>
      </w:tr>
    </w:tbl>
    <w:p/>
    <w:p>
      <w:pPr>
        <w:jc w:val="both"/>
      </w:pPr>
      <w:r>
        <w:t xml:space="preserve">Сумма свободного денежного потока за горизонт — </w:t>
      </w:r>
      <w:r>
        <w:rPr>
          <w:b/>
        </w:rPr>
        <w:t>290 543 млн ₽</w:t>
      </w:r>
      <w:r>
        <w:t xml:space="preserve">. Капитальные вложения за горизонт — </w:t>
      </w:r>
      <w:r>
        <w:rPr>
          <w:b/>
        </w:rPr>
        <w:t>13 570 млн ₽</w:t>
      </w:r>
      <w:r>
        <w:t>.</w:t>
      </w:r>
    </w:p>
    <w:p>
      <w:pPr>
        <w:pStyle w:val="Heading2"/>
      </w:pPr>
      <w:r>
        <w:t>3. Оценка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Сумма дисконтированных потоков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38 988 млн 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Дисконтированная терминальная стоимость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23 979 млн 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Доля терминальной стоимости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38%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Стоимость бизнеса (EV), базовый сценарий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63,0 млрд 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Внутренняя норма доходности проекта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182,1%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Окупаемость простая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2,73 года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Окупаемость дисконтированная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3,05 года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Пиковая потребность в финансировании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1 701 млн ₽</w:t>
            </w:r>
          </w:p>
        </w:tc>
      </w:tr>
    </w:tbl>
    <w:p/>
    <w:p>
      <w:pPr>
        <w:ind w:left="360"/>
      </w:pPr>
      <w:r>
        <w:rPr>
          <w:i/>
          <w:color w:val="444444"/>
        </w:rPr>
        <w:t>Внутренняя норма доходности проекта выше 100% — следствие того, что модель не отражает полной стоимости входа на рынок. В переговорах опираться на стоимость бизнеса и расчёт для инвестора, а не на этот показатель.</w:t>
      </w:r>
    </w:p>
    <w:p>
      <w:pPr>
        <w:pStyle w:val="Heading2"/>
      </w:pPr>
      <w:r>
        <w:t>4. Сценарии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Сценарий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Доля рынка год 10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Вес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Стоимость бизнеса, млрд ₽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Консервативный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7%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15%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20,1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Базовый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18%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55%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63,0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Оптимистичный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25%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30%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90,2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Ожидаемое значение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64,7</w:t>
            </w:r>
          </w:p>
        </w:tc>
      </w:tr>
    </w:tbl>
    <w:p/>
    <w:p>
      <w:pPr>
        <w:pStyle w:val="Heading3"/>
      </w:pPr>
      <w:r>
        <w:t>Имитационное моделирование</w:t>
      </w:r>
    </w:p>
    <w:p>
      <w:pPr>
        <w:jc w:val="both"/>
      </w:pPr>
      <w:r>
        <w:t>2000 итераций, зерно 20260907. Варьируются доля рынка, ставка дисконтирования, расходы и задержка запуска.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Перцентиль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P5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P10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P25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Медиана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P75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P90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P95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Стоимость бизнеса, млрд ₽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14,7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18,5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26,8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39,2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52,9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65,8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73,5</w:t>
            </w:r>
          </w:p>
        </w:tc>
      </w:tr>
    </w:tbl>
    <w:p/>
    <w:p>
      <w:pPr>
        <w:jc w:val="both"/>
      </w:pPr>
      <w:r>
        <w:t>Вероятность стоимости выше 50 млрд ₽ — 29,6%; вероятность отрицательной стоимости — 0,0%. Медиана имитации ниже базового сценария, потому что имитация учитывает вероятность задержки запуска.</w:t>
      </w:r>
    </w:p>
    <w:p>
      <w:pPr>
        <w:pStyle w:val="Heading2"/>
      </w:pPr>
      <w:r>
        <w:t>5. Стоимость входа и структура раунда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Показатель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USD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RUB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Pre-money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$248 млн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17,74 млрд ₽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Раунд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$25 млн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1 800 млн ₽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Post-money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$273 млн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19,54 млрд ₽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Доля инвестора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9,21%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9,21%</w:t>
            </w:r>
          </w:p>
        </w:tc>
      </w:tr>
    </w:tbl>
    <w:p/>
    <w:p>
      <w:pPr>
        <w:jc w:val="both"/>
      </w:pPr>
      <w:r>
        <w:t>Скидка за стадию 60% применена один раз и только к доходному и сравнительному подходам. В редакции v4 она применялась дважды, из-за чего стоимость входа была занижена примерно вдвое ($100 млн против $248 млн).</w:t>
      </w:r>
    </w:p>
    <w:p>
      <w:pPr>
        <w:jc w:val="both"/>
      </w:pPr>
      <w:r>
        <w:rPr>
          <w:b/>
        </w:rPr>
        <w:t>Раунд покрывает потребность:</w:t>
      </w:r>
      <w:r>
        <w:t xml:space="preserve"> пик 1 701 млн ₽ против раунда 1 800 млн ₽, запас 99 млн ₽. При задержке запуска на год потребность составит 3 438 млн ₽ — запаса не хватит.</w:t>
      </w:r>
    </w:p>
    <w:p>
      <w:pPr>
        <w:pStyle w:val="Heading2"/>
      </w:pPr>
      <w:r>
        <w:t>6. Расчёт для инвестора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Инвестиция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1 800 млн 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Доля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9,21%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Горизонт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7 лет, выход в 2033 году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Кратность возврата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18,4×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Внутренняя норма доходности инвестора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51,6%</w:t>
            </w:r>
          </w:p>
        </w:tc>
      </w:tr>
    </w:tbl>
    <w:p/>
    <w:p>
      <w:pPr>
        <w:jc w:val="both"/>
      </w:pPr>
      <w:r>
        <w:t>Показатели предполагают полное выполнение плана; это верхняя граница, а не ожидание.</w:t>
      </w:r>
    </w:p>
    <w:p>
      <w:pPr>
        <w:pStyle w:val="Heading2"/>
      </w:pPr>
      <w:r>
        <w:t>7. Что запрещено делать с этими цифрами</w:t>
      </w:r>
    </w:p>
    <w:p>
      <w:pPr>
        <w:pStyle w:val="ListNumber"/>
      </w:pPr>
      <w:r>
        <w:t>Приводить показатель, которого нет в этом своде.</w:t>
      </w:r>
    </w:p>
    <w:p>
      <w:pPr>
        <w:pStyle w:val="ListNumber"/>
      </w:pPr>
      <w:r>
        <w:t>Смешивать уровень проекта и уровень инвестора — это разные оси.</w:t>
      </w:r>
    </w:p>
    <w:p>
      <w:pPr>
        <w:pStyle w:val="ListNumber"/>
      </w:pPr>
      <w:r>
        <w:t>Показывать валовые сборы как выручку платформы.</w:t>
      </w:r>
    </w:p>
    <w:p>
      <w:pPr>
        <w:pStyle w:val="ListNumber"/>
      </w:pPr>
      <w:r>
        <w:t>Применять скидку за стадию повторно.</w:t>
      </w:r>
    </w:p>
    <w:p>
      <w:pPr>
        <w:pStyle w:val="ListNumber"/>
      </w:pPr>
      <w:r>
        <w:t>Публиковать оценку без оговорки, что нормативная база не принята, а траектория доли рынка ничем не подтверждена.</w:t>
      </w:r>
    </w:p>
    <w:p>
      <w:pPr>
        <w:jc w:val="both"/>
      </w:pPr>
      <w:r>
        <w:rPr>
          <w:b/>
        </w:rPr>
        <w:t>Свод v5 · 07.09.2026 · собран программно из расчётного движка.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