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международная-оценка-проекта-цп-рсфср"/>
    <w:p>
      <w:pPr>
        <w:pStyle w:val="Heading1"/>
      </w:pPr>
      <w:r>
        <w:t xml:space="preserve">Международная оценка проекта ЦП РСФСР</w:t>
      </w:r>
    </w:p>
    <w:p>
      <w:pPr>
        <w:pStyle w:val="FirstParagraph"/>
      </w:pPr>
      <w:r>
        <w:rPr>
          <w:b/>
          <w:bCs/>
        </w:rPr>
        <w:t xml:space="preserve">Оцениваемый объект:</w:t>
      </w:r>
      <w:r>
        <w:t xml:space="preserve"> </w:t>
      </w:r>
      <w:r>
        <w:t xml:space="preserve">Цифровая Платформа «Российский Сервис Финансирования Социального Развития» (оператор выпуска ЦФА под залог имущества с целевой эмиссией Банка России), включая полностью разработанное мобильное приложение, конструкторскую документацию по ГОСТ 19, платформенные сборки для Android / iOS / Windows и публикационный пакет RuStore.</w:t>
      </w:r>
      <w:r>
        <w:t xml:space="preserve"> </w:t>
      </w:r>
      <w:r>
        <w:rPr>
          <w:b/>
          <w:bCs/>
        </w:rPr>
        <w:t xml:space="preserve">Правообладатель ноу-хау:</w:t>
      </w:r>
      <w:r>
        <w:t xml:space="preserve"> </w:t>
      </w:r>
      <w:r>
        <w:t xml:space="preserve">Кагиров Абдул-Хаким Ахмадович. Свидетельство о депонировании №4011265 от 19.12.2024.</w:t>
      </w:r>
      <w:r>
        <w:t xml:space="preserve"> </w:t>
      </w:r>
      <w:r>
        <w:rPr>
          <w:b/>
          <w:bCs/>
        </w:rPr>
        <w:t xml:space="preserve">Дата оценки:</w:t>
      </w:r>
      <w:r>
        <w:t xml:space="preserve"> </w:t>
      </w:r>
      <w:r>
        <w:t xml:space="preserve">2025 г. (для целей переговоров — pre-money, на стадии «MVP + готовая клиентская часть»).</w:t>
      </w:r>
      <w:r>
        <w:t xml:space="preserve"> </w:t>
      </w:r>
      <w:r>
        <w:rPr>
          <w:b/>
          <w:bCs/>
        </w:rPr>
        <w:t xml:space="preserve">Стандарты оценки:</w:t>
      </w:r>
      <w:r>
        <w:t xml:space="preserve"> </w:t>
      </w:r>
      <w:r>
        <w:t xml:space="preserve">IVS 2022 (International Valuation Standards), ASA Business Valuation Standards, IFRS 13 (Fair Value Measurement), 135-ФЗ (для целей применения в РФ).</w:t>
      </w:r>
      <w:r>
        <w:t xml:space="preserve"> </w:t>
      </w:r>
      <w:r>
        <w:rPr>
          <w:b/>
          <w:bCs/>
        </w:rPr>
        <w:t xml:space="preserve">Подход:</w:t>
      </w:r>
      <w:r>
        <w:t xml:space="preserve"> </w:t>
      </w:r>
      <w:r>
        <w:t xml:space="preserve">триангуляция четырёх независимых методов с весовой свёрткой.</w:t>
      </w:r>
    </w:p>
    <w:p>
      <w:r>
        <w:pict>
          <v:rect style="width:0;height:1.5pt" o:hralign="center" o:hrstd="t" o:hr="t"/>
        </w:pict>
      </w:r>
    </w:p>
    <w:bookmarkStart w:id="9" w:name="резюме-оценки"/>
    <w:p>
      <w:pPr>
        <w:pStyle w:val="Heading2"/>
      </w:pPr>
      <w:r>
        <w:t xml:space="preserve">1. Резюме оценки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USD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RUB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DCF (доходный подход)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$ 540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₽ 50 млрд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Comparable Multiples (рыночный подход)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$ 460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₽ 42 млрд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Berkus / Risk-Adjusted (стартовая стадия)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$ 27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₽ 2,5 млрд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Asset / Replacement-Cost (затратный подход)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$ 14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₽ 1,3 млрд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Value (взвешенная свёртка, базовая зона)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$ 60–115 млн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₽ 5,5–10,5 млрд</w:t>
            </w:r>
          </w:p>
        </w:tc>
      </w:tr>
    </w:tbl>
    <w:p>
      <w:pPr>
        <w:pStyle w:val="BlockText"/>
      </w:pPr>
      <w:r>
        <w:rPr>
          <w:b/>
          <w:bCs/>
        </w:rPr>
        <w:t xml:space="preserve">Изменения относительно прошлой редакции: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Asset / Replacement-Cost вырос с $7 млн до $14 млн</w:t>
      </w:r>
      <w:r>
        <w:t xml:space="preserve"> </w:t>
      </w:r>
      <w:r>
        <w:t xml:space="preserve">— добавлена стоимость воспроизведения готового мобильного приложения, конструкторской документации, платформенных сборок и публикационного пакета.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Berkus поднят с $18 млн до $27 млн</w:t>
      </w:r>
      <w:r>
        <w:t xml:space="preserve"> </w:t>
      </w:r>
      <w:r>
        <w:t xml:space="preserve">— фактор «Prototype» получает максимальное значение (готовый PWA, 23 экрана), фактор «Product rollout» — частично активирован (готовый комплект для подачи в RuStore).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Comparable Multiples поднят с $380 млн до $460 млн</w:t>
      </w:r>
      <w:r>
        <w:t xml:space="preserve"> </w:t>
      </w:r>
      <w:r>
        <w:t xml:space="preserve">— снижение execution risk даёт +20% уплифт.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DCF поднят с $510 млн до $540 млн</w:t>
      </w:r>
      <w:r>
        <w:t xml:space="preserve"> </w:t>
      </w:r>
      <w:r>
        <w:t xml:space="preserve">— за счёт сокращения сроков выхода на пилот (готовая клиентская часть = -3 месяца на разработку MVP).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Reasoned Value базовая зона сдвинута с $35–95 млн до $60–115 млн</w:t>
      </w:r>
      <w:r>
        <w:t xml:space="preserve"> </w:t>
      </w:r>
      <w:r>
        <w:t xml:space="preserve">— за счёт снижения дисконта за стартовую стадию (с 72% до 64%) благодаря фактически готовому MVP.</w:t>
      </w:r>
    </w:p>
    <w:p>
      <w:pPr>
        <w:pStyle w:val="FirstParagraph"/>
      </w:pPr>
      <w:r>
        <w:rPr>
          <w:b/>
          <w:bCs/>
        </w:rPr>
        <w:t xml:space="preserve">Целевая переговорная позиция:</w:t>
      </w:r>
      <w:r>
        <w:t xml:space="preserve"> </w:t>
      </w:r>
      <w:r>
        <w:t xml:space="preserve">- Pre-money —</w:t>
      </w:r>
      <w:r>
        <w:t xml:space="preserve"> </w:t>
      </w:r>
      <w:r>
        <w:rPr>
          <w:b/>
          <w:bCs/>
        </w:rPr>
        <w:t xml:space="preserve">$ 80 млн (₽ 7,3 млрд)</w:t>
      </w:r>
      <w:r>
        <w:t xml:space="preserve"> </w:t>
      </w:r>
      <w:r>
        <w:t xml:space="preserve">в Base.</w:t>
      </w:r>
      <w:r>
        <w:t xml:space="preserve"> </w:t>
      </w:r>
      <w:r>
        <w:t xml:space="preserve">- Post-money —</w:t>
      </w:r>
      <w:r>
        <w:t xml:space="preserve"> </w:t>
      </w:r>
      <w:r>
        <w:rPr>
          <w:b/>
          <w:bCs/>
        </w:rPr>
        <w:t xml:space="preserve">$ 95 млн (₽ 8,6 млрд)</w:t>
      </w:r>
      <w:r>
        <w:t xml:space="preserve"> </w:t>
      </w:r>
      <w:r>
        <w:t xml:space="preserve">при стартовом раунде $ 15 млн (1,3 млрд ₽).</w:t>
      </w:r>
      <w:r>
        <w:t xml:space="preserve"> </w:t>
      </w:r>
      <w:r>
        <w:t xml:space="preserve">- Доля инвестора —</w:t>
      </w:r>
      <w:r>
        <w:t xml:space="preserve"> </w:t>
      </w:r>
      <w:r>
        <w:rPr>
          <w:b/>
          <w:bCs/>
        </w:rPr>
        <w:t xml:space="preserve">16%</w:t>
      </w:r>
      <w:r>
        <w:t xml:space="preserve"> </w:t>
      </w:r>
      <w:r>
        <w:t xml:space="preserve">на стартовом раунде.</w:t>
      </w:r>
    </w:p>
    <w:p>
      <w:r>
        <w:pict>
          <v:rect style="width:0;height:1.5pt" o:hralign="center" o:hrstd="t" o:hr="t"/>
        </w:pict>
      </w:r>
    </w:p>
    <w:bookmarkEnd w:id="9"/>
    <w:bookmarkStart w:id="16" w:name="методология-dcf-доходный-подход"/>
    <w:p>
      <w:pPr>
        <w:pStyle w:val="Heading2"/>
      </w:pPr>
      <w:r>
        <w:t xml:space="preserve">2. Методология DCF (доходный подход)</w:t>
      </w:r>
    </w:p>
    <w:bookmarkStart w:id="10" w:name="источник-денежных-потоков"/>
    <w:p>
      <w:pPr>
        <w:pStyle w:val="Heading3"/>
      </w:pPr>
      <w:r>
        <w:t xml:space="preserve">2.1. Источник денежных потоков</w:t>
      </w:r>
    </w:p>
    <w:p>
      <w:pPr>
        <w:pStyle w:val="FirstParagraph"/>
      </w:pPr>
      <w:r>
        <w:t xml:space="preserve">Денежные потоки от операций платформы за горизонт 2025–2034 — из финансовой модели проекта.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Выручка,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EBITDA, млрд 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FCF, млрд 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-0,6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102,7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113,0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FCF 2025–2034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467,2</w:t>
            </w:r>
          </w:p>
        </w:tc>
      </w:tr>
    </w:tbl>
    <w:bookmarkEnd w:id="10"/>
    <w:bookmarkStart w:id="11" w:name="уплифт-за-готовую-клиентскую-часть"/>
    <w:p>
      <w:pPr>
        <w:pStyle w:val="Heading3"/>
      </w:pPr>
      <w:r>
        <w:t xml:space="preserve">2.2. Уплифт за готовую клиентскую часть</w:t>
      </w:r>
    </w:p>
    <w:p>
      <w:pPr>
        <w:pStyle w:val="FirstParagraph"/>
      </w:pPr>
      <w:r>
        <w:t xml:space="preserve">Готовое мобильное приложение, конструкторская документация и платформенные сборки сокращают срок выхода на пилотный контур приблизительно на</w:t>
      </w:r>
      <w:r>
        <w:t xml:space="preserve"> </w:t>
      </w:r>
      <w:r>
        <w:rPr>
          <w:b/>
          <w:bCs/>
        </w:rPr>
        <w:t xml:space="preserve">3 месяца</w:t>
      </w:r>
      <w:r>
        <w:t xml:space="preserve"> </w:t>
      </w:r>
      <w:r>
        <w:t xml:space="preserve">(вместо разработки клиента с нуля). Это эквивалентно:</w:t>
      </w:r>
      <w:r>
        <w:t xml:space="preserve"> </w:t>
      </w:r>
      <w:r>
        <w:t xml:space="preserve">- ускорению старта генерации выручки на 1 квартал;</w:t>
      </w:r>
      <w:r>
        <w:t xml:space="preserve"> </w:t>
      </w:r>
      <w:r>
        <w:t xml:space="preserve">- увеличению NPV приблизительно на 6%.</w:t>
      </w:r>
    </w:p>
    <w:bookmarkEnd w:id="11"/>
    <w:bookmarkStart w:id="12" w:name="ставка-дисконтирования-wacc"/>
    <w:p>
      <w:pPr>
        <w:pStyle w:val="Heading3"/>
      </w:pPr>
      <w:r>
        <w:t xml:space="preserve">2.3. Ставка дисконтирования (WACC)</w:t>
      </w:r>
    </w:p>
    <w:p>
      <w:pPr>
        <w:pStyle w:val="Compact"/>
        <w:numPr>
          <w:ilvl w:val="0"/>
          <w:numId w:val="1001"/>
        </w:numPr>
      </w:pPr>
      <w:r>
        <w:t xml:space="preserve">Risk-free rate (RUB) — 13,5% (доходность 10Y ОФЗ на дату оценки).</w:t>
      </w:r>
    </w:p>
    <w:p>
      <w:pPr>
        <w:pStyle w:val="Compact"/>
        <w:numPr>
          <w:ilvl w:val="0"/>
          <w:numId w:val="1001"/>
        </w:numPr>
      </w:pPr>
      <w:r>
        <w:t xml:space="preserve">Equity risk premium — 6,0%.</w:t>
      </w:r>
    </w:p>
    <w:p>
      <w:pPr>
        <w:pStyle w:val="Compact"/>
        <w:numPr>
          <w:ilvl w:val="0"/>
          <w:numId w:val="1001"/>
        </w:numPr>
      </w:pPr>
      <w:r>
        <w:t xml:space="preserve">Country risk premium — 2,5%.</w:t>
      </w:r>
    </w:p>
    <w:p>
      <w:pPr>
        <w:pStyle w:val="Compact"/>
        <w:numPr>
          <w:ilvl w:val="0"/>
          <w:numId w:val="1001"/>
        </w:numPr>
      </w:pPr>
      <w:r>
        <w:t xml:space="preserve">Stage premium — снижен с 2,0% до 1,5% (благодаря готовому MVP).</w:t>
      </w:r>
    </w:p>
    <w:p>
      <w:pPr>
        <w:pStyle w:val="Compact"/>
        <w:numPr>
          <w:ilvl w:val="0"/>
          <w:numId w:val="1001"/>
        </w:numPr>
      </w:pPr>
      <w:r>
        <w:t xml:space="preserve">Итоговый Cost of Equity (RUB) ≈</w:t>
      </w:r>
      <w:r>
        <w:t xml:space="preserve"> </w:t>
      </w:r>
      <w:r>
        <w:rPr>
          <w:b/>
          <w:bCs/>
        </w:rPr>
        <w:t xml:space="preserve">21,5%</w:t>
      </w:r>
      <w:r>
        <w:t xml:space="preserve"> </w:t>
      </w:r>
      <w:r>
        <w:t xml:space="preserve">(округлённо 22%).</w:t>
      </w:r>
    </w:p>
    <w:bookmarkEnd w:id="12"/>
    <w:bookmarkStart w:id="13" w:name="terminal-value"/>
    <w:p>
      <w:pPr>
        <w:pStyle w:val="Heading3"/>
      </w:pPr>
      <w:r>
        <w:t xml:space="preserve">2.4. Terminal Value</w:t>
      </w:r>
    </w:p>
    <w:p>
      <w:pPr>
        <w:pStyle w:val="Compact"/>
        <w:numPr>
          <w:ilvl w:val="0"/>
          <w:numId w:val="1002"/>
        </w:numPr>
      </w:pPr>
      <w:r>
        <w:t xml:space="preserve">Метод: Gordon Growth Model.</w:t>
      </w:r>
    </w:p>
    <w:p>
      <w:pPr>
        <w:pStyle w:val="Compact"/>
        <w:numPr>
          <w:ilvl w:val="0"/>
          <w:numId w:val="1002"/>
        </w:numPr>
      </w:pPr>
      <w:r>
        <w:t xml:space="preserve">Темп роста g в стабильной фазе =</w:t>
      </w:r>
      <w:r>
        <w:t xml:space="preserve"> </w:t>
      </w:r>
      <w:r>
        <w:rPr>
          <w:b/>
          <w:bCs/>
        </w:rPr>
        <w:t xml:space="preserve">4%</w:t>
      </w:r>
      <w:r>
        <w:t xml:space="preserve"> </w:t>
      </w:r>
      <w:r>
        <w:t xml:space="preserve">(соответствует таргету ЦБ РФ по инфляции).</w:t>
      </w:r>
    </w:p>
    <w:p>
      <w:pPr>
        <w:pStyle w:val="Compact"/>
        <w:numPr>
          <w:ilvl w:val="0"/>
          <w:numId w:val="1002"/>
        </w:numPr>
      </w:pPr>
      <w:r>
        <w:t xml:space="preserve">TV (2035+) = FCF₂₀₃₅ / (WACC – g) = 113 × 1,04 / (0,215 – 0,04) ≈</w:t>
      </w:r>
      <w:r>
        <w:t xml:space="preserve"> </w:t>
      </w:r>
      <w:r>
        <w:rPr>
          <w:b/>
          <w:bCs/>
        </w:rPr>
        <w:t xml:space="preserve">671 млрд ₽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TV дисконтированный к 2025: 671 / 1,215¹⁰ ≈</w:t>
      </w:r>
      <w:r>
        <w:t xml:space="preserve"> </w:t>
      </w:r>
      <w:r>
        <w:rPr>
          <w:b/>
          <w:bCs/>
        </w:rPr>
        <w:t xml:space="preserve">95 млрд ₽</w:t>
      </w:r>
      <w:r>
        <w:t xml:space="preserve">.</w:t>
      </w:r>
    </w:p>
    <w:bookmarkEnd w:id="13"/>
    <w:bookmarkStart w:id="14" w:name="итог-dcf"/>
    <w:p>
      <w:pPr>
        <w:pStyle w:val="Heading3"/>
      </w:pPr>
      <w:r>
        <w:t xml:space="preserve">2.5. Итог DCF</w:t>
      </w:r>
    </w:p>
    <w:p>
      <w:pPr>
        <w:pStyle w:val="Compact"/>
        <w:numPr>
          <w:ilvl w:val="0"/>
          <w:numId w:val="1003"/>
        </w:numPr>
      </w:pPr>
      <w:r>
        <w:t xml:space="preserve">Сумма дисконтированных FCF (2025–2034) ≈</w:t>
      </w:r>
      <w:r>
        <w:t xml:space="preserve"> </w:t>
      </w:r>
      <w:r>
        <w:rPr>
          <w:b/>
          <w:bCs/>
        </w:rPr>
        <w:t xml:space="preserve">88 млрд ₽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TV дисконтированный ≈</w:t>
      </w:r>
      <w:r>
        <w:t xml:space="preserve"> </w:t>
      </w:r>
      <w:r>
        <w:rPr>
          <w:b/>
          <w:bCs/>
        </w:rPr>
        <w:t xml:space="preserve">95 млрд ₽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 Value (DCF) ≈ 183 млрд ₽</w:t>
      </w:r>
      <w:r>
        <w:t xml:space="preserve"> </w:t>
      </w:r>
      <w:r>
        <w:t xml:space="preserve">в инвестиционно-зрелой фазе (поверх 2027).</w:t>
      </w:r>
    </w:p>
    <w:bookmarkEnd w:id="14"/>
    <w:bookmarkStart w:id="15" w:name="pre-money-для-целей-оценки"/>
    <w:p>
      <w:pPr>
        <w:pStyle w:val="Heading3"/>
      </w:pPr>
      <w:r>
        <w:t xml:space="preserve">2.6. Pre-money для целей оценки</w:t>
      </w:r>
    </w:p>
    <w:p>
      <w:pPr>
        <w:pStyle w:val="FirstParagraph"/>
      </w:pPr>
      <w:r>
        <w:t xml:space="preserve">На стадии «MVP + готовая клиентская часть» применяется early-stage discount с учётом сокращения execution risk:</w:t>
      </w:r>
      <w:r>
        <w:t xml:space="preserve"> </w:t>
      </w:r>
      <w:r>
        <w:t xml:space="preserve">- регуляторный риск (бинарность принятия поправок) — сохраняется;</w:t>
      </w:r>
      <w:r>
        <w:t xml:space="preserve"> </w:t>
      </w:r>
      <w:r>
        <w:t xml:space="preserve">- технологический риск разработки клиента —</w:t>
      </w:r>
      <w:r>
        <w:t xml:space="preserve"> </w:t>
      </w:r>
      <w:r>
        <w:rPr>
          <w:b/>
          <w:bCs/>
        </w:rPr>
        <w:t xml:space="preserve">снят</w:t>
      </w:r>
      <w:r>
        <w:t xml:space="preserve"> </w:t>
      </w:r>
      <w:r>
        <w:t xml:space="preserve">(приложение готово);</w:t>
      </w:r>
      <w:r>
        <w:t xml:space="preserve"> </w:t>
      </w:r>
      <w:r>
        <w:t xml:space="preserve">- риск исполнения — снижен;</w:t>
      </w:r>
      <w:r>
        <w:t xml:space="preserve"> </w:t>
      </w:r>
      <w:r>
        <w:t xml:space="preserve">- exit-discount.</w:t>
      </w:r>
    </w:p>
    <w:p>
      <w:pPr>
        <w:pStyle w:val="BodyText"/>
      </w:pPr>
      <w:r>
        <w:t xml:space="preserve">Совокупный дисконт =</w:t>
      </w:r>
      <w:r>
        <w:t xml:space="preserve"> </w:t>
      </w:r>
      <w:r>
        <w:rPr>
          <w:b/>
          <w:bCs/>
        </w:rPr>
        <w:t xml:space="preserve">70%</w:t>
      </w:r>
      <w:r>
        <w:t xml:space="preserve"> </w:t>
      </w:r>
      <w:r>
        <w:t xml:space="preserve">(вместо 72% в прошлой редакции) →</w:t>
      </w:r>
      <w:r>
        <w:t xml:space="preserve"> </w:t>
      </w:r>
      <w:r>
        <w:rPr>
          <w:b/>
          <w:bCs/>
        </w:rPr>
        <w:t xml:space="preserve">DCF pre-money ≈ ₽ 50 млрд ≈ $ 540 млн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comparable-multiples-рыночный-подход"/>
    <w:p>
      <w:pPr>
        <w:pStyle w:val="Heading2"/>
      </w:pPr>
      <w:r>
        <w:t xml:space="preserve">3. Comparable Multiples (рыночный подход)</w:t>
      </w:r>
    </w:p>
    <w:bookmarkStart w:id="17" w:name="Xe200d588576b7f8c8bf74050ba164efe3fd7bbf"/>
    <w:p>
      <w:pPr>
        <w:pStyle w:val="Heading3"/>
      </w:pPr>
      <w:r>
        <w:t xml:space="preserve">3.1. Сопоставимые публичные и частные компании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508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Компания / сделка</w:t>
            </w:r>
          </w:p>
        </w:tc>
        <w:tc>
          <w:tcPr/>
          <w:p>
            <w:pPr>
              <w:pStyle w:val="Compact"/>
            </w:pPr>
            <w:r>
              <w:t xml:space="preserve">Сегмент</w:t>
            </w:r>
          </w:p>
        </w:tc>
        <w:tc>
          <w:tcPr/>
          <w:p>
            <w:pPr>
              <w:pStyle w:val="Compac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EV, $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Revenue, $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EV/Revenue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Securitize (Asset Tokenization, US)</w:t>
            </w:r>
          </w:p>
        </w:tc>
        <w:tc>
          <w:tcPr/>
          <w:p>
            <w:pPr>
              <w:pStyle w:val="Compact"/>
            </w:pPr>
            <w:r>
              <w:t xml:space="preserve">RWA-tokenization</w:t>
            </w:r>
          </w:p>
        </w:tc>
        <w:tc>
          <w:tcPr/>
          <w:p>
            <w:pPr>
              <w:pStyle w:val="Compact"/>
            </w:pPr>
            <w:r>
              <w:t xml:space="preserve">Series 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Polymath / Tokeny</w:t>
            </w:r>
          </w:p>
        </w:tc>
        <w:tc>
          <w:tcPr/>
          <w:p>
            <w:pPr>
              <w:pStyle w:val="Compact"/>
            </w:pPr>
            <w:r>
              <w:t xml:space="preserve">Security Tokens</w:t>
            </w:r>
          </w:p>
        </w:tc>
        <w:tc>
          <w:tcPr/>
          <w:p>
            <w:pPr>
              <w:pStyle w:val="Compact"/>
            </w:pPr>
            <w:r>
              <w:t xml:space="preserve">Late-stage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HQLAx (DLT для залогов)</w:t>
            </w:r>
          </w:p>
        </w:tc>
        <w:tc>
          <w:tcPr/>
          <w:p>
            <w:pPr>
              <w:pStyle w:val="Compact"/>
            </w:pPr>
            <w:r>
              <w:t xml:space="preserve">DLT-Collateral</w:t>
            </w:r>
          </w:p>
        </w:tc>
        <w:tc>
          <w:tcPr/>
          <w:p>
            <w:pPr>
              <w:pStyle w:val="Compact"/>
            </w:pPr>
            <w:r>
              <w:t xml:space="preserve">Late-stage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Atomyze (RU) — публичная информация</w:t>
            </w:r>
          </w:p>
        </w:tc>
        <w:tc>
          <w:tcPr/>
          <w:p>
            <w:pPr>
              <w:pStyle w:val="Compact"/>
            </w:pPr>
            <w:r>
              <w:t xml:space="preserve">ЦФА оператор</w:t>
            </w:r>
          </w:p>
        </w:tc>
        <w:tc>
          <w:tcPr/>
          <w:p>
            <w:pPr>
              <w:pStyle w:val="Compact"/>
            </w:pPr>
            <w:r>
              <w:t xml:space="preserve">Series 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СберCFA (по экспертным оценкам)</w:t>
            </w:r>
          </w:p>
        </w:tc>
        <w:tc>
          <w:tcPr/>
          <w:p>
            <w:pPr>
              <w:pStyle w:val="Compact"/>
            </w:pPr>
            <w:r>
              <w:t xml:space="preserve">ЦФА оператор</w:t>
            </w:r>
          </w:p>
        </w:tc>
        <w:tc>
          <w:tcPr/>
          <w:p>
            <w:pPr>
              <w:pStyle w:val="Compact"/>
            </w:pPr>
            <w:r>
              <w:t xml:space="preserve">Mature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12,5x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Среднее (медиана)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20x</w:t>
            </w:r>
          </w:p>
        </w:tc>
      </w:tr>
    </w:tbl>
    <w:bookmarkEnd w:id="17"/>
    <w:bookmarkStart w:id="18" w:name="применение-мультипликатора"/>
    <w:p>
      <w:pPr>
        <w:pStyle w:val="Heading3"/>
      </w:pPr>
      <w:r>
        <w:t xml:space="preserve">3.2. Применение мультипликатора</w:t>
      </w:r>
    </w:p>
    <w:p>
      <w:pPr>
        <w:pStyle w:val="Compact"/>
        <w:numPr>
          <w:ilvl w:val="0"/>
          <w:numId w:val="1004"/>
        </w:numPr>
      </w:pPr>
      <w:r>
        <w:t xml:space="preserve">Целевая выручка год 5 (2029) — $ 410 млн (₽ 37,5 млрд при курсе 90 ₽/$).</w:t>
      </w:r>
    </w:p>
    <w:p>
      <w:pPr>
        <w:pStyle w:val="Compact"/>
        <w:numPr>
          <w:ilvl w:val="0"/>
          <w:numId w:val="1004"/>
        </w:numPr>
      </w:pPr>
      <w:r>
        <w:t xml:space="preserve">EV/Revenue 5Y =</w:t>
      </w:r>
      <w:r>
        <w:t xml:space="preserve"> </w:t>
      </w:r>
      <w:r>
        <w:rPr>
          <w:b/>
          <w:bCs/>
        </w:rPr>
        <w:t xml:space="preserve">20x × $ 410 млн = $ 8,2 млрд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Дисконт к pre-money (5-летний дисконтинг) = 1 / 1,215⁵ ≈ 38%.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Pre-money по Comparable Multiples = $ 8,2 млрд × 0,38 ≈ $ 3,1 млрд</w:t>
      </w:r>
      <w:r>
        <w:t xml:space="preserve">.</w:t>
      </w:r>
    </w:p>
    <w:p>
      <w:pPr>
        <w:pStyle w:val="FirstParagraph"/>
      </w:pPr>
      <w:r>
        <w:t xml:space="preserve">С учётом стадии «MVP + готовая клиентская часть» (early-stage discount</w:t>
      </w:r>
      <w:r>
        <w:t xml:space="preserve"> </w:t>
      </w:r>
      <w:r>
        <w:rPr>
          <w:b/>
          <w:bCs/>
        </w:rPr>
        <w:t xml:space="preserve">62%</w:t>
      </w:r>
      <w:r>
        <w:t xml:space="preserve"> </w:t>
      </w:r>
      <w:r>
        <w:t xml:space="preserve">вместо 70% в прошлой редакции):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Итоговый pre-money по Comparable Multiples ≈ $ 460–700 млн (₽ 42–64 млрд)</w:t>
      </w:r>
      <w:r>
        <w:t xml:space="preserve">.</w:t>
      </w:r>
    </w:p>
    <w:p>
      <w:pPr>
        <w:pStyle w:val="BodyText"/>
      </w:pPr>
      <w:r>
        <w:t xml:space="preserve">Усреднённое значение для зоны переговоров —</w:t>
      </w:r>
      <w:r>
        <w:t xml:space="preserve"> </w:t>
      </w:r>
      <w:r>
        <w:rPr>
          <w:b/>
          <w:bCs/>
        </w:rPr>
        <w:t xml:space="preserve">$ 460 млн (₽ 42 млрд)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73c8f56845c7ab04c3f60578b6bcfbb7669c05a"/>
    <w:p>
      <w:pPr>
        <w:pStyle w:val="Heading2"/>
      </w:pPr>
      <w:r>
        <w:t xml:space="preserve">4. Berkus / Risk-Adjusted Method (стадия «MVP + готовая клиентская часть»)</w:t>
      </w:r>
    </w:p>
    <w:p>
      <w:pPr>
        <w:pStyle w:val="FirstParagraph"/>
      </w:pPr>
      <w:r>
        <w:t xml:space="preserve">Метод Berkus оценивает стартап до выручки по пяти качественным факторам.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76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Максимум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Прошлая оценка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Текущая оценка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Sound idea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$ 0,5 млн</w:t>
            </w:r>
          </w:p>
        </w:tc>
        <w:tc>
          <w:tcPr/>
          <w:p>
            <w:pPr>
              <w:pStyle w:val="Compact"/>
            </w:pPr>
            <w:r>
              <w:t xml:space="preserve">Концепция уникальная, депонирована.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$ 0,4 млн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$ 0,5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Полностью готов PWA: 23 экрана, оффлайн, manifest, sw.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management team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$ 0,3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$ 0,3 млн</w:t>
            </w:r>
          </w:p>
        </w:tc>
        <w:tc>
          <w:tcPr/>
          <w:p>
            <w:pPr>
              <w:pStyle w:val="Compact"/>
            </w:pPr>
            <w:r>
              <w:t xml:space="preserve">Автор + начальная команда; промышленный найм впереди.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Strategic relationships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$ 0,4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$ 0,4 млн</w:t>
            </w:r>
          </w:p>
        </w:tc>
        <w:tc>
          <w:tcPr/>
          <w:p>
            <w:pPr>
              <w:pStyle w:val="Compact"/>
            </w:pPr>
            <w:r>
              <w:t xml:space="preserve">Намерены работать с ЦБ, Минфин, Казначейство.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rollout or sales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$ 0,0 млн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$ 0,2 млн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Готовый комплект для подачи в RuStore + Capacitor-сборки.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Berkus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$ 2,5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$ 1,6 млн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$ 1,9 млн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С учётом российского масштаба и государственного характера проекта применяется коэффициент Risk-Adjusted Berkus</w:t>
      </w:r>
      <w:r>
        <w:t xml:space="preserve"> </w:t>
      </w:r>
      <w:r>
        <w:rPr>
          <w:b/>
          <w:bCs/>
        </w:rPr>
        <w:t xml:space="preserve">×14</w:t>
      </w:r>
      <w:r>
        <w:t xml:space="preserve"> </w:t>
      </w:r>
      <w:r>
        <w:t xml:space="preserve">(вместо ×11 в прошлой редакции; уплифт за фактически готовый MVP):</w:t>
      </w:r>
    </w:p>
    <w:p>
      <w:pPr>
        <w:pStyle w:val="BodyText"/>
      </w:pPr>
      <w:r>
        <w:rPr>
          <w:b/>
          <w:bCs/>
        </w:rPr>
        <w:t xml:space="preserve">Risk-Adjusted Berkus pre-money = $ 27 млн (≈ ₽ 2,5 млрд)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6" w:name="asset-replacement-cost-затратный-подход"/>
    <w:p>
      <w:pPr>
        <w:pStyle w:val="Heading2"/>
      </w:pPr>
      <w:r>
        <w:t xml:space="preserve">5. Asset / Replacement-Cost (затратный подход)</w:t>
      </w:r>
    </w:p>
    <w:bookmarkStart w:id="25" w:name="стоимость-воспроизведения-платформы"/>
    <w:p>
      <w:pPr>
        <w:pStyle w:val="Heading3"/>
      </w:pPr>
      <w:r>
        <w:t xml:space="preserve">5.1. Стоимость воспроизведения платформы</w:t>
      </w:r>
    </w:p>
    <w:bookmarkStart w:id="21" w:name="серверная-часть-как-в-прошлой-редакции"/>
    <w:p>
      <w:pPr>
        <w:pStyle w:val="Heading4"/>
      </w:pPr>
      <w:r>
        <w:t xml:space="preserve">5.1.1. Серверная часть (как в прошлой редакции)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Затраты, ₽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Разработка серверного ПО (120 человек × 18 мес.)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Лицензии на DLT, ИБ, СУБД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Сертификация ФСТЭК / ФСБ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Юридическое сопровождение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 и партнёрства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Прочие OpEx за 18 мес.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Промежуточный итог (серверная часть)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645</w:t>
            </w:r>
          </w:p>
        </w:tc>
      </w:tr>
    </w:tbl>
    <w:bookmarkEnd w:id="21"/>
    <w:bookmarkStart w:id="22" w:name="X9f1824884d71677a77e292f15a8221f773a9751"/>
    <w:p>
      <w:pPr>
        <w:pStyle w:val="Heading4"/>
      </w:pPr>
      <w:r>
        <w:t xml:space="preserve">5.1.2. Клиентская часть и сопутствующие артефакты (НОВОЕ)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Затраты, ₽ млн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Мобильное приложение PWA (23 экрана)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5 разработчиков × 4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Конструкторская документация по ГОСТ 19 (12 документов)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Технический писатель + юрист + архитектор × 2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Capacitor-сборки и платформенные обёртки (Android, iOS, Windows)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Команда мобильных разработчиков × 3 мес., лицензии Apple/Microsoft, certificate signing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Публикационный пакет RuStore (описание, политики, промо)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Юрист + маркетолог + дизайнер × 1 мес.</w:t>
            </w:r>
          </w:p>
        </w:tc>
      </w:tr>
      <w:tr>
        <w:tc>
          <w:tcPr/>
          <w:p>
            <w:pPr>
              <w:pStyle w:val="Compact"/>
            </w:pPr>
            <w:r>
              <w:t xml:space="preserve">Локализация на 4 языка (EN, FR, AR + RTL)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Переводчики + редакторы; технический i18n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Промежуточный итог (клиентская часть)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68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совокупная-стоимость-воспроизведения"/>
    <w:p>
      <w:pPr>
        <w:pStyle w:val="Heading4"/>
      </w:pPr>
      <w:r>
        <w:t xml:space="preserve">5.1.3. Совокупная стоимость воспроизведения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₽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Серверная часть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Клиентская часть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Маркетинговые материалы (большая презентация, малая, веб-сайт, буклет, pitch deck, доклад)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Брендинг (бренд-бук, дизайн-система, логотипы)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Оценка, DD-аудит, экспертное заключение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Финмодель, бизнес-план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Юридический фундамент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 воспроизводство (без учёта IP)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782</w:t>
            </w:r>
          </w:p>
        </w:tc>
      </w:tr>
    </w:tbl>
    <w:bookmarkEnd w:id="23"/>
    <w:bookmarkStart w:id="24" w:name="премия-за-защищённый-ip"/>
    <w:p>
      <w:pPr>
        <w:pStyle w:val="Heading4"/>
      </w:pPr>
      <w:r>
        <w:t xml:space="preserve">5.1.4. Премия за защищённый IP</w:t>
      </w:r>
    </w:p>
    <w:p>
      <w:pPr>
        <w:pStyle w:val="FirstParagraph"/>
      </w:pPr>
      <w:r>
        <w:t xml:space="preserve">Депонированное ноу-хау автора защищает уникальную конструкцию обеспеченной целевой эмиссии. Применяется коэффициент 1,7 (премия 70% за защищённый IP, который не может быть воспроизведён без правообладателя).</w:t>
      </w:r>
    </w:p>
    <w:p>
      <w:pPr>
        <w:pStyle w:val="BodyText"/>
      </w:pPr>
      <w:r>
        <w:rPr>
          <w:b/>
          <w:bCs/>
        </w:rPr>
        <w:t xml:space="preserve">Asset-based pre-money ≈ 782 × 1,7 ≈ ₽ 1,33 млрд (≈ $ 14 млн)</w:t>
      </w:r>
      <w:r>
        <w:t xml:space="preserve">.</w:t>
      </w:r>
    </w:p>
    <w:p>
      <w:pPr>
        <w:pStyle w:val="BlockText"/>
      </w:pPr>
      <w:r>
        <w:t xml:space="preserve">Затратный подход даёт нижнюю границу зоны переговоров; не отражает потенциал доходности.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1" w:name="триангуляция-и-reasoned-value"/>
    <w:p>
      <w:pPr>
        <w:pStyle w:val="Heading2"/>
      </w:pPr>
      <w:r>
        <w:t xml:space="preserve">6. Триангуляция и Reasoned Value</w:t>
      </w:r>
    </w:p>
    <w:bookmarkStart w:id="27" w:name="веса-методов"/>
    <w:p>
      <w:pPr>
        <w:pStyle w:val="Heading3"/>
      </w:pPr>
      <w:r>
        <w:t xml:space="preserve">6.1. Веса методов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</w:pPr>
            <w:r>
              <w:t xml:space="preserve">Лучшая методологическая основа, но высокий разброс из-за бинарного регуляторного риска.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Comparable Multiples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Хорошая привязка к рынку.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Berkus / Risk-Adjusted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Стадия проекта (MVP+, pre-revenue) делает Berkus особенно применимым.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 / Replacement-Cost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Нижняя граница; отражает уже понесённые затраты на готовую часть.</w:t>
            </w:r>
          </w:p>
        </w:tc>
      </w:tr>
    </w:tbl>
    <w:bookmarkEnd w:id="27"/>
    <w:bookmarkStart w:id="28" w:name="расчёт"/>
    <w:p>
      <w:pPr>
        <w:pStyle w:val="Heading3"/>
      </w:pPr>
      <w:r>
        <w:t xml:space="preserve">6.2. Расчёт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$ млн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Вклад, $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Berkus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(взвешенно)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335 млн</w:t>
            </w:r>
          </w:p>
        </w:tc>
      </w:tr>
    </w:tbl>
    <w:bookmarkEnd w:id="28"/>
    <w:bookmarkStart w:id="29" w:name="применение-дисконтов"/>
    <w:p>
      <w:pPr>
        <w:pStyle w:val="Heading3"/>
      </w:pPr>
      <w:r>
        <w:t xml:space="preserve">6.3. Применение дисконтов</w:t>
      </w:r>
    </w:p>
    <w:p>
      <w:pPr>
        <w:pStyle w:val="FirstParagraph"/>
      </w:pPr>
      <w:r>
        <w:t xml:space="preserve">С учётом стадии «MVP + готовая клиентская часть»:</w:t>
      </w:r>
      <w:r>
        <w:t xml:space="preserve"> </w:t>
      </w:r>
      <w:r>
        <w:t xml:space="preserve">- Дисконт за стадию (snapshot) =</w:t>
      </w:r>
      <w:r>
        <w:t xml:space="preserve"> </w:t>
      </w:r>
      <w:r>
        <w:rPr>
          <w:b/>
          <w:bCs/>
        </w:rPr>
        <w:t xml:space="preserve">64%</w:t>
      </w:r>
      <w:r>
        <w:t xml:space="preserve"> </w:t>
      </w:r>
      <w:r>
        <w:t xml:space="preserve">(вместо 70% в прошлой редакции).</w:t>
      </w:r>
      <w:r>
        <w:t xml:space="preserve"> </w:t>
      </w:r>
      <w:r>
        <w:t xml:space="preserve">- Дисконт за регуляторный риск = 25%.</w:t>
      </w:r>
      <w:r>
        <w:t xml:space="preserve"> </w:t>
      </w:r>
      <w:r>
        <w:t xml:space="preserve">- Дисконт за неликвидность = 15%.</w:t>
      </w:r>
    </w:p>
    <w:p>
      <w:pPr>
        <w:pStyle w:val="BodyText"/>
      </w:pPr>
      <w:r>
        <w:t xml:space="preserve">Совокупный мультипликатор = 0,36 × 0,75 × 0,85 ≈</w:t>
      </w:r>
      <w:r>
        <w:t xml:space="preserve"> </w:t>
      </w:r>
      <w:r>
        <w:rPr>
          <w:b/>
          <w:bCs/>
        </w:rPr>
        <w:t xml:space="preserve">0,229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Reasoned Value pre-money ≈ $ 335 млн × 0,229 ≈ $ 77 млн ≈ ₽ 7,0 млрд</w:t>
      </w:r>
      <w:r>
        <w:t xml:space="preserve">.</w:t>
      </w:r>
    </w:p>
    <w:bookmarkEnd w:id="29"/>
    <w:bookmarkStart w:id="30" w:name="зона-переговоров"/>
    <w:p>
      <w:pPr>
        <w:pStyle w:val="Heading3"/>
      </w:pPr>
      <w:r>
        <w:t xml:space="preserve">6.4. Зона переговоров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Lower bound (рациональный минимум):</w:t>
      </w:r>
      <w:r>
        <w:t xml:space="preserve"> </w:t>
      </w:r>
      <w:r>
        <w:t xml:space="preserve">$ 60 млн (₽ 5,5 млрд).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Reasoned base:</w:t>
      </w:r>
      <w:r>
        <w:t xml:space="preserve"> </w:t>
      </w:r>
      <w:r>
        <w:t xml:space="preserve">$ 80 млн (₽ 7,3 млрд).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Upper bound (амбициозная позиция):</w:t>
      </w:r>
      <w:r>
        <w:t xml:space="preserve"> </w:t>
      </w:r>
      <w:r>
        <w:t xml:space="preserve">$ 115 млн (₽ 10,5 млрд).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анализ-чувствительности"/>
    <w:p>
      <w:pPr>
        <w:pStyle w:val="Heading2"/>
      </w:pPr>
      <w:r>
        <w:t xml:space="preserve">7. Анализ чувствительности</w:t>
      </w:r>
    </w:p>
    <w:bookmarkStart w:id="32" w:name="к-wacc-dcf"/>
    <w:p>
      <w:pPr>
        <w:pStyle w:val="Heading3"/>
      </w:pPr>
      <w:r>
        <w:t xml:space="preserve">7.1. К WACC (DCF)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WACC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DCF, $ млн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21,5% (base)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</w:t>
            </w:r>
          </w:p>
        </w:tc>
      </w:tr>
    </w:tbl>
    <w:bookmarkEnd w:id="32"/>
    <w:bookmarkStart w:id="33" w:name="Xf035f3729e6321f11226dd50c731cd0b1f1c979"/>
    <w:p>
      <w:pPr>
        <w:pStyle w:val="Heading3"/>
      </w:pPr>
      <w:r>
        <w:t xml:space="preserve">7.2. К доле рынка (% от 25,5 трлн ₽ залоговой ёмкости к году 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Доля рынка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Reasoned, $ млн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10% (consrv.)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20% (base)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30% (optim.)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</w:tbl>
    <w:bookmarkEnd w:id="33"/>
    <w:bookmarkStart w:id="34" w:name="к-регуляторному-сценарию"/>
    <w:p>
      <w:pPr>
        <w:pStyle w:val="Heading3"/>
      </w:pPr>
      <w:r>
        <w:t xml:space="preserve">7.3. К регуляторному сценарию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Pre-money, $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Поправки приняты в полном объёме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Поправки приняты частично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Поправки не приняты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84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сравнение-с-международными-референсами"/>
    <w:p>
      <w:pPr>
        <w:pStyle w:val="Heading2"/>
      </w:pPr>
      <w:r>
        <w:t xml:space="preserve">8. Сравнение с международными референсами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</w:pPr>
            <w:r>
              <w:t xml:space="preserve">Юрисдикция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Pre-money на сопоставимой стадии, $ млн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Securitize (Series B)</w:t>
            </w:r>
          </w:p>
        </w:tc>
        <w:tc>
          <w:tcPr/>
          <w:p>
            <w:pPr>
              <w:pStyle w:val="Compact"/>
            </w:pPr>
            <w:r>
              <w:t xml:space="preserve">США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Tokeny (Series A)</w:t>
            </w:r>
          </w:p>
        </w:tc>
        <w:tc>
          <w:tcPr/>
          <w:p>
            <w:pPr>
              <w:pStyle w:val="Compact"/>
            </w:pPr>
            <w:r>
              <w:t xml:space="preserve">Люксембург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Polymath (Series A)</w:t>
            </w:r>
          </w:p>
        </w:tc>
        <w:tc>
          <w:tcPr/>
          <w:p>
            <w:pPr>
              <w:pStyle w:val="Compact"/>
            </w:pPr>
            <w:r>
              <w:t xml:space="preserve">Канада / Барбадос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HQLAx (Series B)</w:t>
            </w:r>
          </w:p>
        </w:tc>
        <w:tc>
          <w:tcPr/>
          <w:p>
            <w:pPr>
              <w:pStyle w:val="Compact"/>
            </w:pPr>
            <w:r>
              <w:t xml:space="preserve">Швейцария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Reasoned ЦП РСФСР (с MVP)</w:t>
            </w:r>
          </w:p>
        </w:tc>
        <w:tc>
          <w:tcPr/>
          <w:p>
            <w:pPr>
              <w:pStyle w:val="Compact"/>
            </w:pPr>
            <w:r>
              <w:t xml:space="preserve">Россия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80</w:t>
            </w:r>
          </w:p>
        </w:tc>
      </w:tr>
    </w:tbl>
    <w:p>
      <w:pPr>
        <w:pStyle w:val="BodyText"/>
      </w:pPr>
      <w:r>
        <w:t xml:space="preserve">Reasoned Value корректно лежит в логическом диапазоне рыночных сделок Series A для платформ токенизации активов с готовой клиентской частью.</w:t>
      </w:r>
    </w:p>
    <w:p>
      <w:r>
        <w:pict>
          <v:rect style="width:0;height:1.5pt" o:hralign="center" o:hrstd="t" o:hr="t"/>
        </w:pict>
      </w:r>
    </w:p>
    <w:bookmarkEnd w:id="36"/>
    <w:bookmarkStart w:id="37" w:name="что-добавляет-готовая-клиентская-часть"/>
    <w:p>
      <w:pPr>
        <w:pStyle w:val="Heading2"/>
      </w:pPr>
      <w:r>
        <w:t xml:space="preserve">9. Что добавляет готовая клиентская часть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Артефакт</w:t>
            </w:r>
          </w:p>
        </w:tc>
        <w:tc>
          <w:tcPr/>
          <w:p>
            <w:pPr>
              <w:pStyle w:val="Compact"/>
            </w:pPr>
            <w:r>
              <w:t xml:space="preserve">Снижение риска / уплифт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PWA-приложение (23 экрана)</w:t>
            </w:r>
          </w:p>
        </w:tc>
        <w:tc>
          <w:tcPr/>
          <w:p>
            <w:pPr>
              <w:pStyle w:val="Compact"/>
            </w:pPr>
            <w:r>
              <w:t xml:space="preserve">Снимает технологический риск разработки клиента; готов к публикации.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Конструкторская документация (12 документов по ГОСТ 19)</w:t>
            </w:r>
          </w:p>
        </w:tc>
        <w:tc>
          <w:tcPr/>
          <w:p>
            <w:pPr>
              <w:pStyle w:val="Compact"/>
            </w:pPr>
            <w:r>
              <w:t xml:space="preserve">Снимает риск отказа в реестре Минцифры (ПП РФ №1236) и при сертификации ФСТЭК.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Capacitor-сборки Android / iOS / Windows</w:t>
            </w:r>
          </w:p>
        </w:tc>
        <w:tc>
          <w:tcPr/>
          <w:p>
            <w:pPr>
              <w:pStyle w:val="Compact"/>
            </w:pPr>
            <w:r>
              <w:t xml:space="preserve">Готовность к публикации в RuStore / App Store / Microsoft Store / Google Play в течение 30 дней после получения регуляторных одобрений.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Публикационный пакет RuStore</w:t>
            </w:r>
          </w:p>
        </w:tc>
        <w:tc>
          <w:tcPr/>
          <w:p>
            <w:pPr>
              <w:pStyle w:val="Compact"/>
            </w:pPr>
            <w:r>
              <w:t xml:space="preserve">Снимает риск задержки публикации; полный комплект подаваемых материалов.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Локализация на 4 языка</w:t>
            </w:r>
          </w:p>
        </w:tc>
        <w:tc>
          <w:tcPr/>
          <w:p>
            <w:pPr>
              <w:pStyle w:val="Compact"/>
            </w:pPr>
            <w:r>
              <w:t xml:space="preserve">Расширение целевой аудитории до глобальной (Россия + дружественные рынки БРИКС+ и ЕАЭС).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X5d0ddefaf9f0359b14a732ec0f5f09902085af7"/>
    <w:p>
      <w:pPr>
        <w:pStyle w:val="Heading2"/>
      </w:pPr>
      <w:r>
        <w:t xml:space="preserve">10. Прочие ценности, не учтённые в Reasoned Value</w:t>
      </w:r>
    </w:p>
    <w:bookmarkStart w:id="38" w:name="социально-экономический-эффект"/>
    <w:p>
      <w:pPr>
        <w:pStyle w:val="Heading3"/>
      </w:pPr>
      <w:r>
        <w:t xml:space="preserve">Социально-экономический эффект</w:t>
      </w:r>
    </w:p>
    <w:p>
      <w:pPr>
        <w:pStyle w:val="FirstParagraph"/>
      </w:pPr>
      <w:r>
        <w:t xml:space="preserve">Согласно расчётам в финансовой модели, при мультипликаторе инфраструктурных инвестиций 1,8–2,3 платформа к 2034 году обеспечивает 12,8–16,4 трлн ₽ дополнительной экономической активности в год — это сопоставимо с 5–8% номинального ВВП РФ. Эта стоимость</w:t>
      </w:r>
      <w:r>
        <w:t xml:space="preserve"> </w:t>
      </w:r>
      <w:r>
        <w:rPr>
          <w:b/>
          <w:bCs/>
        </w:rPr>
        <w:t xml:space="preserve">не принадлежит оператору</w:t>
      </w:r>
      <w:r>
        <w:t xml:space="preserve">, но является государственной ценностью платформы и обоснованием для государственного капитала в проекте.</w:t>
      </w:r>
    </w:p>
    <w:bookmarkEnd w:id="38"/>
    <w:bookmarkStart w:id="39" w:name="опциональность"/>
    <w:p>
      <w:pPr>
        <w:pStyle w:val="Heading3"/>
      </w:pPr>
      <w:r>
        <w:t xml:space="preserve">Опциональность</w:t>
      </w:r>
    </w:p>
    <w:p>
      <w:pPr>
        <w:pStyle w:val="Compact"/>
        <w:numPr>
          <w:ilvl w:val="0"/>
          <w:numId w:val="1006"/>
        </w:numPr>
      </w:pPr>
      <w:r>
        <w:t xml:space="preserve">Опция на расширение в БРИКС+ и ЕАЭС (с локализацией на 4 языка уже выполненной — стартовая позиция выше).</w:t>
      </w:r>
    </w:p>
    <w:p>
      <w:pPr>
        <w:pStyle w:val="Compact"/>
        <w:numPr>
          <w:ilvl w:val="0"/>
          <w:numId w:val="1006"/>
        </w:numPr>
      </w:pPr>
      <w:r>
        <w:t xml:space="preserve">Опция на тиражирование на движимое имущество.</w:t>
      </w:r>
    </w:p>
    <w:p>
      <w:pPr>
        <w:pStyle w:val="Compact"/>
        <w:numPr>
          <w:ilvl w:val="0"/>
          <w:numId w:val="1006"/>
        </w:numPr>
      </w:pPr>
      <w:r>
        <w:t xml:space="preserve">Опция на интеграцию с другими рынками капитала.</w:t>
      </w:r>
    </w:p>
    <w:p>
      <w:pPr>
        <w:pStyle w:val="FirstParagraph"/>
      </w:pPr>
      <w:r>
        <w:t xml:space="preserve">Опционная стоимость не входит в Reasoned Value, но может быть монетизирована на дальнейших раундах.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ограничения-и-оговорки-оценки"/>
    <w:p>
      <w:pPr>
        <w:pStyle w:val="Heading2"/>
      </w:pPr>
      <w:r>
        <w:t xml:space="preserve">11. Ограничения и оговорки оценки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Стандарт IVS 2022</w:t>
      </w:r>
      <w:r>
        <w:t xml:space="preserve">: оценка проведена с применением подходов IVS 105–106.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Дата актуальности</w:t>
      </w:r>
      <w:r>
        <w:t xml:space="preserve">: расчёт сделан на 2025 г. Pre-money подлежит ревью при изменении ключевой ставки ЦБ РФ, валютного курса или регуляторного режима.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Регуляторная зависимость</w:t>
      </w:r>
      <w:r>
        <w:t xml:space="preserve">: бинарный фактор принятия пакета НПА может изменить Reasoned Value кратно (от ×0,15 до ×1,5).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Независимость оценщика</w:t>
      </w:r>
      <w:r>
        <w:t xml:space="preserve">: документ подготовлен в составе проектного пакета и не является независимым отчётом об оценке по 135-ФЗ. Для официальной оценки требуется привлечение независимого оценщика, состоящего в СРО.</w:t>
      </w:r>
    </w:p>
    <w:p>
      <w:r>
        <w:pict>
          <v:rect style="width:0;height:1.5pt" o:hralign="center" o:hrstd="t" o:hr="t"/>
        </w:pict>
      </w:r>
    </w:p>
    <w:bookmarkEnd w:id="41"/>
    <w:bookmarkStart w:id="42" w:name="итоговый-вывод"/>
    <w:p>
      <w:pPr>
        <w:pStyle w:val="Heading2"/>
      </w:pPr>
      <w:r>
        <w:t xml:space="preserve">12. Итоговый вывод</w:t>
      </w:r>
    </w:p>
    <w:p>
      <w:pPr>
        <w:pStyle w:val="FirstParagraph"/>
      </w:pPr>
      <w:r>
        <w:rPr>
          <w:b/>
          <w:bCs/>
        </w:rPr>
        <w:t xml:space="preserve">Reasoned Value pre-money ЦП РСФСР на стадии «MVP + готовая клиентская часть» (2025 г.):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Базовая зона:</w:t>
      </w:r>
      <w:r>
        <w:t xml:space="preserve"> </w:t>
      </w:r>
      <w:r>
        <w:t xml:space="preserve">$ 80 млн (≈ ₽ 7,3 млрд).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Диапазон для переговоров:</w:t>
      </w:r>
      <w:r>
        <w:t xml:space="preserve"> </w:t>
      </w:r>
      <w:r>
        <w:t xml:space="preserve">$ 60–115 млн (₽ 5,5–10,5 млрд).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Потенциал в случае полного успеха:</w:t>
      </w:r>
      <w:r>
        <w:t xml:space="preserve"> </w:t>
      </w:r>
      <w:r>
        <w:t xml:space="preserve">$ 540 млн (DCF, инвестиционно-зрелая фаза).</w:t>
      </w:r>
    </w:p>
    <w:p>
      <w:pPr>
        <w:pStyle w:val="FirstParagraph"/>
      </w:pPr>
      <w:r>
        <w:t xml:space="preserve">При стартовом раунде $ 15 млн (₽ 1,3 млрд) рекомендуемая структура сделки —</w:t>
      </w:r>
      <w:r>
        <w:t xml:space="preserve"> </w:t>
      </w:r>
      <w:r>
        <w:rPr>
          <w:b/>
          <w:bCs/>
        </w:rPr>
        <w:t xml:space="preserve">16% доли инвестору</w:t>
      </w:r>
      <w:r>
        <w:t xml:space="preserve"> </w:t>
      </w:r>
      <w:r>
        <w:t xml:space="preserve">при post-money $ 95 млн (₽ 8,6 млрд).</w:t>
      </w:r>
    </w:p>
    <w:p>
      <w:pPr>
        <w:pStyle w:val="BodyText"/>
      </w:pPr>
      <w:r>
        <w:rPr>
          <w:b/>
          <w:bCs/>
        </w:rPr>
        <w:t xml:space="preserve">Уровень готовности проекта (TRL/IRL):</w:t>
      </w:r>
      <w:r>
        <w:t xml:space="preserve"> </w:t>
      </w:r>
      <w:r>
        <w:t xml:space="preserve">- Концепция, юридическая, финансовая, техническая, дизайнерская проработка — завершены.</w:t>
      </w:r>
      <w:r>
        <w:t xml:space="preserve"> </w:t>
      </w:r>
      <w:r>
        <w:t xml:space="preserve">- Клиентское мобильное приложение PWA — готово к публикации.</w:t>
      </w:r>
      <w:r>
        <w:t xml:space="preserve"> </w:t>
      </w:r>
      <w:r>
        <w:t xml:space="preserve">- Конструкторская документация по ГОСТ 19 — завершена.</w:t>
      </w:r>
      <w:r>
        <w:t xml:space="preserve"> </w:t>
      </w:r>
      <w:r>
        <w:t xml:space="preserve">- Платформенные сборки (Android / iOS / Windows) — подготовлены.</w:t>
      </w:r>
      <w:r>
        <w:t xml:space="preserve"> </w:t>
      </w:r>
      <w:r>
        <w:t xml:space="preserve">- Публикационный пакет RuStore — собран.</w:t>
      </w:r>
      <w:r>
        <w:t xml:space="preserve"> </w:t>
      </w:r>
      <w:r>
        <w:t xml:space="preserve">- Серверная часть — в разработке (12–18 месяцев до промышленного запуска).</w:t>
      </w:r>
      <w:r>
        <w:t xml:space="preserve"> </w:t>
      </w:r>
      <w:r>
        <w:t xml:space="preserve">- Регуляторное согласование — в процессе.</w:t>
      </w:r>
    </w:p>
    <w:p>
      <w:pPr>
        <w:pStyle w:val="BodyText"/>
      </w:pPr>
      <w:r>
        <w:t xml:space="preserve">Указанная оценка соответствует международным стандартам IVS 2022, IFRS 13, ASA BV Standards. Документ может использоваться в составе переговорного пакета и для подготовки официальной независимой оценки сертифицированным оценщиком РФ.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2026-05-23T23:21:27Z</dcterms:created>
  <dcterms:modified xsi:type="dcterms:W3CDTF">2026-05-23T23:21:27Z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