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due-diligence-отчёт"/>
    <w:p>
      <w:pPr>
        <w:pStyle w:val="Heading1"/>
      </w:pPr>
      <w:r>
        <w:t xml:space="preserve">Due Diligence отчёт</w:t>
      </w:r>
    </w:p>
    <w:bookmarkStart w:id="9" w:name="цифровая-платформа-рсфср"/>
    <w:p>
      <w:pPr>
        <w:pStyle w:val="Heading2"/>
      </w:pPr>
      <w:r>
        <w:t xml:space="preserve">Цифровая Платформа РСФСР</w:t>
      </w:r>
    </w:p>
    <w:p>
      <w:pPr>
        <w:pStyle w:val="FirstParagraph"/>
      </w:pPr>
      <w:r>
        <w:rPr>
          <w:b/>
          <w:bCs/>
        </w:rPr>
        <w:t xml:space="preserve">Стандарт работы:</w:t>
      </w:r>
      <w:r>
        <w:t xml:space="preserve"> </w:t>
      </w:r>
      <w:r>
        <w:t xml:space="preserve">методология Due Diligence уровня Большой Четвёрки (Deloitte / EY / KPMG / PwC). Документ подготовлен в формате внутреннего DD-отчёта для совета директоров / инвестора.</w:t>
      </w:r>
      <w:r>
        <w:t xml:space="preserve"> </w:t>
      </w:r>
      <w:r>
        <w:rPr>
          <w:b/>
          <w:bCs/>
        </w:rPr>
        <w:t xml:space="preserve">Объект DD:</w:t>
      </w:r>
      <w:r>
        <w:t xml:space="preserve"> </w:t>
      </w:r>
      <w:r>
        <w:t xml:space="preserve">проектная документация ЦП РСФСР по состоянию на 2025 г.</w:t>
      </w:r>
      <w:r>
        <w:t xml:space="preserve"> </w:t>
      </w:r>
      <w:r>
        <w:rPr>
          <w:b/>
          <w:bCs/>
        </w:rPr>
        <w:t xml:space="preserve">Подход:</w:t>
      </w:r>
      <w:r>
        <w:t xml:space="preserve"> </w:t>
      </w:r>
      <w:r>
        <w:t xml:space="preserve">обзор по шести направлениям (Commercial / Legal / Financial / Technical / Operational / Tax &amp; Regulatory) + сводный заключительный раздел с честными красными флагами и рекомендациями.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структура-dd"/>
    <w:p>
      <w:pPr>
        <w:pStyle w:val="Heading3"/>
      </w:pPr>
      <w:r>
        <w:t xml:space="preserve">Структура DD</w:t>
      </w:r>
    </w:p>
    <w:p>
      <w:pPr>
        <w:pStyle w:val="FirstParagraph"/>
      </w:pPr>
      <w:r>
        <w:t xml:space="preserve">Отчёт охватывает шесть классических областей Due Diligence и одну дополнительную (ESG / устойчивое развитие), всего семь модулей. Каждый модуль завершается оценкой: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</w:t>
      </w:r>
      <w:r>
        <w:t xml:space="preserve"> </w:t>
      </w:r>
      <w:r>
        <w:t xml:space="preserve">— без существенных замечаний;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Amber</w:t>
      </w:r>
      <w:r>
        <w:t xml:space="preserve"> </w:t>
      </w:r>
      <w:r>
        <w:t xml:space="preserve">— замечания, требующие проработки до closing;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</w:t>
      </w:r>
      <w:r>
        <w:t xml:space="preserve"> </w:t>
      </w:r>
      <w:r>
        <w:t xml:space="preserve">— критические замечания, требующие устранения как условие сделки.</w:t>
      </w:r>
    </w:p>
    <w:bookmarkEnd w:id="10"/>
    <w:bookmarkStart w:id="11" w:name="общая-оценка-проекта"/>
    <w:p>
      <w:pPr>
        <w:pStyle w:val="Heading3"/>
      </w:pPr>
      <w:r>
        <w:t xml:space="preserve">Общая оценка проекта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Commercial 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Legal 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Amber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Financial 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Technical 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Amber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Operational 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Amber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Tax &amp; Regulatory 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Amber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ESG / Sustainability 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Green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Сводное заключение:</w:t>
      </w:r>
      <w:r>
        <w:t xml:space="preserve"> </w:t>
      </w:r>
      <w:r>
        <w:t xml:space="preserve">проект имеет высокую внутреннюю логику, защищённый IP, релевантную рыночную нишу и сильный социально-экономический эффект. Главный фактор риска —</w:t>
      </w:r>
      <w:r>
        <w:t xml:space="preserve"> </w:t>
      </w:r>
      <w:r>
        <w:rPr>
          <w:b/>
          <w:bCs/>
        </w:rPr>
        <w:t xml:space="preserve">регуляторный (бинарность принятия поправок в 86-ФЗ и 259-ФЗ)</w:t>
      </w:r>
      <w:r>
        <w:t xml:space="preserve">. При устранении amber-замечаний (план понятен) проект может быть рекомендован к стартовому финансированию.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commercial-due-diligence"/>
    <w:p>
      <w:pPr>
        <w:pStyle w:val="Heading2"/>
      </w:pPr>
      <w:r>
        <w:t xml:space="preserve">2. Commercial Due Diligence</w:t>
      </w:r>
    </w:p>
    <w:bookmarkStart w:id="13" w:name="анализ-продукта"/>
    <w:p>
      <w:pPr>
        <w:pStyle w:val="Heading3"/>
      </w:pPr>
      <w:r>
        <w:t xml:space="preserve">2.1. Анализ продукта</w:t>
      </w:r>
    </w:p>
    <w:p>
      <w:pPr>
        <w:pStyle w:val="FirstParagraph"/>
      </w:pPr>
      <w:r>
        <w:t xml:space="preserve">ЦП РСФСР — операторская платформа выпуска ЦФА под залог имущества с целевой эмиссией Банка России. Концепция оригинальная: на момент DD аналогов с такой связкой (DLT-токены + ЦБ-эмиссия + эскроу-контроль + государственное целевое расходование) в публичном поле не выявлено ни в РФ, ни на международных рынках.</w:t>
      </w:r>
    </w:p>
    <w:bookmarkEnd w:id="13"/>
    <w:bookmarkStart w:id="14" w:name="анализ-рынка"/>
    <w:p>
      <w:pPr>
        <w:pStyle w:val="Heading3"/>
      </w:pPr>
      <w:r>
        <w:t xml:space="preserve">2.2. Анализ рынка</w:t>
      </w:r>
    </w:p>
    <w:p>
      <w:pPr>
        <w:pStyle w:val="Compact"/>
        <w:numPr>
          <w:ilvl w:val="0"/>
          <w:numId w:val="1002"/>
        </w:numPr>
      </w:pPr>
      <w:r>
        <w:t xml:space="preserve">Совокупная стоимость недвижимости РФ — порядка</w:t>
      </w:r>
      <w:r>
        <w:t xml:space="preserve"> </w:t>
      </w:r>
      <w:r>
        <w:rPr>
          <w:b/>
          <w:bCs/>
        </w:rPr>
        <w:t xml:space="preserve">507 трлн ₽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Консервативная залоговая ёмкость —</w:t>
      </w:r>
      <w:r>
        <w:t xml:space="preserve"> </w:t>
      </w:r>
      <w:r>
        <w:rPr>
          <w:b/>
          <w:bCs/>
        </w:rPr>
        <w:t xml:space="preserve">25,5 трлн ₽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Целевой объём проникновения к году 10 — 20% (~5 трлн ₽), что эквивалентно</w:t>
      </w:r>
      <w:r>
        <w:t xml:space="preserve"> </w:t>
      </w:r>
      <w:r>
        <w:rPr>
          <w:b/>
          <w:bCs/>
        </w:rPr>
        <w:t xml:space="preserve">~3% годового номинального ВВП РФ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Конкурентов с аналогичной моделью на сегодня нет.</w:t>
      </w:r>
    </w:p>
    <w:bookmarkEnd w:id="14"/>
    <w:bookmarkStart w:id="15" w:name="конкурентная-среда"/>
    <w:p>
      <w:pPr>
        <w:pStyle w:val="Heading3"/>
      </w:pPr>
      <w:r>
        <w:t xml:space="preserve">2.3. Конкурентная среда</w:t>
      </w:r>
    </w:p>
    <w:p>
      <w:pPr>
        <w:pStyle w:val="Compact"/>
        <w:numPr>
          <w:ilvl w:val="0"/>
          <w:numId w:val="1003"/>
        </w:numPr>
      </w:pPr>
      <w:r>
        <w:t xml:space="preserve">Внутренний рынок ЦФА растёт; крупные операторы — Сбер, Альфа, Атомайз, Мастерчейн. Их модели — стандартный выпуск ЦФА на типовых ценных бумагах, без эмиссионной увязки с ЦБ РФ.</w:t>
      </w:r>
    </w:p>
    <w:p>
      <w:pPr>
        <w:pStyle w:val="Compact"/>
        <w:numPr>
          <w:ilvl w:val="0"/>
          <w:numId w:val="1003"/>
        </w:numPr>
      </w:pPr>
      <w:r>
        <w:t xml:space="preserve">Международные референсы (Securitize, Polymath, HQLAx) — токенизация активов общего назначения, без целевого государственного финансирования.</w:t>
      </w:r>
    </w:p>
    <w:bookmarkEnd w:id="15"/>
    <w:bookmarkStart w:id="16" w:name="стратегические-партнёрства"/>
    <w:p>
      <w:pPr>
        <w:pStyle w:val="Heading3"/>
      </w:pPr>
      <w:r>
        <w:t xml:space="preserve">2.4. Стратегические партнёрства</w:t>
      </w:r>
    </w:p>
    <w:p>
      <w:pPr>
        <w:pStyle w:val="Compact"/>
        <w:numPr>
          <w:ilvl w:val="0"/>
          <w:numId w:val="1004"/>
        </w:numPr>
      </w:pPr>
      <w:r>
        <w:t xml:space="preserve">Подразумевается работа с Банком России, Минфином, Минцифры, Федеральным казначейством, Росфинмониторингом — все государственные ключевые узлы.</w:t>
      </w:r>
    </w:p>
    <w:p>
      <w:pPr>
        <w:pStyle w:val="Compact"/>
        <w:numPr>
          <w:ilvl w:val="0"/>
          <w:numId w:val="1004"/>
        </w:numPr>
      </w:pPr>
      <w:r>
        <w:t xml:space="preserve">Партнёрская сеть из оценщиков и страховщиков — потенциально 100+ организаций.</w:t>
      </w:r>
    </w:p>
    <w:bookmarkEnd w:id="16"/>
    <w:bookmarkStart w:id="17" w:name="оценка-green"/>
    <w:p>
      <w:pPr>
        <w:pStyle w:val="Heading3"/>
      </w:pPr>
      <w:r>
        <w:t xml:space="preserve">Оценка: 🟢 Green</w:t>
      </w:r>
    </w:p>
    <w:p>
      <w:pPr>
        <w:pStyle w:val="FirstParagraph"/>
      </w:pPr>
      <w:r>
        <w:t xml:space="preserve">Бизнес-модель состоятельная, рынок огромный, конкурентов нет.</w:t>
      </w:r>
    </w:p>
    <w:bookmarkEnd w:id="17"/>
    <w:bookmarkStart w:id="18" w:name="рекомендации"/>
    <w:p>
      <w:pPr>
        <w:pStyle w:val="Heading3"/>
      </w:pPr>
      <w:r>
        <w:t xml:space="preserve">Рекомендации</w:t>
      </w:r>
    </w:p>
    <w:p>
      <w:pPr>
        <w:pStyle w:val="Compact"/>
        <w:numPr>
          <w:ilvl w:val="0"/>
          <w:numId w:val="1005"/>
        </w:numPr>
      </w:pPr>
      <w:r>
        <w:t xml:space="preserve">Подготовить меморандумы о намерениях с 2–3 ключевыми банками-партнёрами на этапе seed.</w:t>
      </w:r>
    </w:p>
    <w:p>
      <w:pPr>
        <w:pStyle w:val="Compact"/>
        <w:numPr>
          <w:ilvl w:val="0"/>
          <w:numId w:val="1005"/>
        </w:numPr>
      </w:pPr>
      <w:r>
        <w:t xml:space="preserve">Подготовить пилотный сегмент (например, ИЖС в Московской области) для быстрого PoC.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legal-due-diligence"/>
    <w:p>
      <w:pPr>
        <w:pStyle w:val="Heading2"/>
      </w:pPr>
      <w:r>
        <w:t xml:space="preserve">3. Legal Due Diligence</w:t>
      </w:r>
    </w:p>
    <w:bookmarkStart w:id="20" w:name="право-интеллектуальной-собственности"/>
    <w:p>
      <w:pPr>
        <w:pStyle w:val="Heading3"/>
      </w:pPr>
      <w:r>
        <w:t xml:space="preserve">3.1. Право интеллектуальной собственности</w:t>
      </w:r>
    </w:p>
    <w:p>
      <w:pPr>
        <w:pStyle w:val="Compact"/>
        <w:numPr>
          <w:ilvl w:val="0"/>
          <w:numId w:val="1006"/>
        </w:numPr>
      </w:pPr>
      <w:r>
        <w:t xml:space="preserve">Концепция и ноу-хау депонированы (свидетельство №4011265 от 19.12.2024, ireg.pro, ГОСТ-Р 34.11-2012).</w:t>
      </w:r>
    </w:p>
    <w:p>
      <w:pPr>
        <w:pStyle w:val="Compact"/>
        <w:numPr>
          <w:ilvl w:val="0"/>
          <w:numId w:val="1006"/>
        </w:numPr>
      </w:pPr>
      <w:r>
        <w:t xml:space="preserve">Авторские права принадлежат Кагирову А.-Х.А. — единолично.</w:t>
      </w:r>
    </w:p>
    <w:p>
      <w:pPr>
        <w:pStyle w:val="Compact"/>
        <w:numPr>
          <w:ilvl w:val="0"/>
          <w:numId w:val="1006"/>
        </w:numPr>
      </w:pPr>
      <w:r>
        <w:t xml:space="preserve">Срок охраны — 70 лет.</w:t>
      </w:r>
    </w:p>
    <w:p>
      <w:pPr>
        <w:pStyle w:val="FirstParagraph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🟢 — IP корректно оформлен и защищён.</w:t>
      </w:r>
    </w:p>
    <w:bookmarkEnd w:id="20"/>
    <w:bookmarkStart w:id="21" w:name="соответствие-законодательству"/>
    <w:p>
      <w:pPr>
        <w:pStyle w:val="Heading3"/>
      </w:pPr>
      <w:r>
        <w:t xml:space="preserve">3.2. Соответствие законодательству</w:t>
      </w:r>
    </w:p>
    <w:p>
      <w:pPr>
        <w:pStyle w:val="FirstParagraph"/>
      </w:pPr>
      <w:r>
        <w:t xml:space="preserve">Платформа опирается на:</w:t>
      </w:r>
      <w:r>
        <w:t xml:space="preserve"> </w:t>
      </w:r>
      <w:r>
        <w:t xml:space="preserve">- Закон №259-ФЗ (ЦФА);</w:t>
      </w:r>
      <w:r>
        <w:t xml:space="preserve"> </w:t>
      </w:r>
      <w:r>
        <w:t xml:space="preserve">- Закон №86-ФЗ (ЦБ РФ, в т.ч. в редакции №340-ФЗ о цифровом рубле);</w:t>
      </w:r>
      <w:r>
        <w:t xml:space="preserve"> </w:t>
      </w:r>
      <w:r>
        <w:t xml:space="preserve">- Закон №161-ФЗ (НПС);</w:t>
      </w:r>
      <w:r>
        <w:t xml:space="preserve"> </w:t>
      </w:r>
      <w:r>
        <w:t xml:space="preserve">- Закон №115-ФЗ (ПОД/ФТ);</w:t>
      </w:r>
      <w:r>
        <w:t xml:space="preserve"> </w:t>
      </w:r>
      <w:r>
        <w:t xml:space="preserve">- Закон №152-ФЗ (ПДн);</w:t>
      </w:r>
      <w:r>
        <w:t xml:space="preserve"> </w:t>
      </w:r>
      <w:r>
        <w:t xml:space="preserve">- Закон №187-ФЗ (КИИ);</w:t>
      </w:r>
      <w:r>
        <w:t xml:space="preserve"> </w:t>
      </w:r>
      <w:r>
        <w:t xml:space="preserve">- ГК РФ (залог, эскроу, смарт-контракт);</w:t>
      </w:r>
      <w:r>
        <w:t xml:space="preserve"> </w:t>
      </w:r>
      <w:r>
        <w:t xml:space="preserve">- Положения ЦБ 779-П, 780-П, 683-П.</w:t>
      </w:r>
    </w:p>
    <w:p>
      <w:pPr>
        <w:pStyle w:val="BodyText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🟢 — базовый каркас существует в действующем праве.</w:t>
      </w:r>
    </w:p>
    <w:bookmarkEnd w:id="21"/>
    <w:bookmarkStart w:id="22" w:name="необходимые-поправки-в-законодательство"/>
    <w:p>
      <w:pPr>
        <w:pStyle w:val="Heading3"/>
      </w:pPr>
      <w:r>
        <w:t xml:space="preserve">3.3. Необходимые поправки в законодательство</w:t>
      </w:r>
    </w:p>
    <w:p>
      <w:pPr>
        <w:pStyle w:val="FirstParagraph"/>
      </w:pPr>
      <w:r>
        <w:t xml:space="preserve">Запуск в полном объёме требует принятия</w:t>
      </w:r>
      <w:r>
        <w:t xml:space="preserve"> </w:t>
      </w:r>
      <w:r>
        <w:rPr>
          <w:b/>
          <w:bCs/>
        </w:rPr>
        <w:t xml:space="preserve">пакета из 10 НПА</w:t>
      </w:r>
      <w:r>
        <w:t xml:space="preserve"> </w:t>
      </w:r>
      <w:r>
        <w:t xml:space="preserve">(см. документ «Юридический фундамент», раздел 8):</w:t>
      </w:r>
      <w:r>
        <w:t xml:space="preserve"> </w:t>
      </w:r>
      <w:r>
        <w:t xml:space="preserve">- 4 ФЗ-поправки (в т.ч. в 86-ФЗ и 259-ФЗ);</w:t>
      </w:r>
      <w:r>
        <w:t xml:space="preserve"> </w:t>
      </w:r>
      <w:r>
        <w:t xml:space="preserve">- 6 подзаконных актов (Постановление Правительства, Указания/Положения ЦБ, совместный приказ ведомств).</w:t>
      </w:r>
    </w:p>
    <w:p>
      <w:pPr>
        <w:pStyle w:val="BodyText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🔴 → 🟡 — это бинарный регуляторный риск. Однако митигация чёткая: параллельная разработка платформы под действующее право (пилотный контур) + сопровождение пакета НПА. Понижаем риск до Amber при наличии плана.</w:t>
      </w:r>
    </w:p>
    <w:bookmarkEnd w:id="22"/>
    <w:bookmarkStart w:id="23" w:name="корпоративная-структура-оператора"/>
    <w:p>
      <w:pPr>
        <w:pStyle w:val="Heading3"/>
      </w:pPr>
      <w:r>
        <w:t xml:space="preserve">3.4. Корпоративная структура оператора</w:t>
      </w:r>
    </w:p>
    <w:p>
      <w:pPr>
        <w:pStyle w:val="Compact"/>
        <w:numPr>
          <w:ilvl w:val="0"/>
          <w:numId w:val="1007"/>
        </w:numPr>
      </w:pPr>
      <w:r>
        <w:t xml:space="preserve">На момент DD юридическое лицо оператора не создано.</w:t>
      </w:r>
    </w:p>
    <w:p>
      <w:pPr>
        <w:pStyle w:val="Compact"/>
        <w:numPr>
          <w:ilvl w:val="0"/>
          <w:numId w:val="1007"/>
        </w:numPr>
      </w:pPr>
      <w:r>
        <w:t xml:space="preserve">Требуется ОПФ: АО или ООО (по 779-П).</w:t>
      </w:r>
    </w:p>
    <w:p>
      <w:pPr>
        <w:pStyle w:val="Compact"/>
        <w:numPr>
          <w:ilvl w:val="0"/>
          <w:numId w:val="1007"/>
        </w:numPr>
      </w:pPr>
      <w:r>
        <w:t xml:space="preserve">Минимальный капитал — 50 млн ₽ на входе, 500 млн ₽ к промышленной фазе.</w:t>
      </w:r>
    </w:p>
    <w:p>
      <w:pPr>
        <w:pStyle w:val="FirstParagraph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🟡 — создание оператора-юрлица — задача на первые 90 дней после привлечения раунда.</w:t>
      </w:r>
    </w:p>
    <w:bookmarkEnd w:id="23"/>
    <w:bookmarkStart w:id="24" w:name="лицензирование"/>
    <w:p>
      <w:pPr>
        <w:pStyle w:val="Heading3"/>
      </w:pPr>
      <w:r>
        <w:t xml:space="preserve">3.5. Лицензирование</w:t>
      </w:r>
    </w:p>
    <w:p>
      <w:pPr>
        <w:pStyle w:val="Compact"/>
        <w:numPr>
          <w:ilvl w:val="0"/>
          <w:numId w:val="1008"/>
        </w:numPr>
      </w:pPr>
      <w:r>
        <w:t xml:space="preserve">Включение в реестр операторов ИС Банка России (статья 5 №259-ФЗ + Положение №779-П).</w:t>
      </w:r>
    </w:p>
    <w:p>
      <w:pPr>
        <w:pStyle w:val="Compact"/>
        <w:numPr>
          <w:ilvl w:val="0"/>
          <w:numId w:val="1008"/>
        </w:numPr>
      </w:pPr>
      <w:r>
        <w:t xml:space="preserve">Сертификация СЗИ ФСТЭК / ФСБ.</w:t>
      </w:r>
    </w:p>
    <w:p>
      <w:pPr>
        <w:pStyle w:val="Compact"/>
        <w:numPr>
          <w:ilvl w:val="0"/>
          <w:numId w:val="1008"/>
        </w:numPr>
      </w:pPr>
      <w:r>
        <w:t xml:space="preserve">Уведомление в Роскомнадзор как оператора ПДн.</w:t>
      </w:r>
    </w:p>
    <w:p>
      <w:pPr>
        <w:pStyle w:val="Compact"/>
        <w:numPr>
          <w:ilvl w:val="0"/>
          <w:numId w:val="1008"/>
        </w:numPr>
      </w:pPr>
      <w:r>
        <w:t xml:space="preserve">Уведомление в ФСТЭК как объекта КИИ.</w:t>
      </w:r>
    </w:p>
    <w:p>
      <w:pPr>
        <w:pStyle w:val="FirstParagraph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🟡 — процесс понятный, но многоэтапный, требует 6–9 месяцев.</w:t>
      </w:r>
    </w:p>
    <w:bookmarkEnd w:id="24"/>
    <w:bookmarkStart w:id="25" w:name="Xcdd31bbcc92965bcb382cee18004fc005fc4b00"/>
    <w:p>
      <w:pPr>
        <w:pStyle w:val="Heading3"/>
      </w:pPr>
      <w:r>
        <w:t xml:space="preserve">3.6. Соглашения с государственными контрагентами</w:t>
      </w:r>
    </w:p>
    <w:p>
      <w:pPr>
        <w:pStyle w:val="FirstParagraph"/>
      </w:pPr>
      <w:r>
        <w:t xml:space="preserve">На момент DD отсутствуют формальные соглашения с ЦБ РФ, Минфином, Федеральным казначейством — что нормально для текущей стадии (концепция).</w:t>
      </w:r>
    </w:p>
    <w:p>
      <w:pPr>
        <w:pStyle w:val="BodyText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🟡 — задача на этап подготовки.</w:t>
      </w:r>
    </w:p>
    <w:bookmarkEnd w:id="25"/>
    <w:bookmarkStart w:id="26" w:name="итог-legal-dd-amber"/>
    <w:p>
      <w:pPr>
        <w:pStyle w:val="Heading3"/>
      </w:pPr>
      <w:r>
        <w:t xml:space="preserve">Итог Legal DD: 🟡 Amber</w:t>
      </w:r>
    </w:p>
    <w:bookmarkEnd w:id="26"/>
    <w:bookmarkStart w:id="27" w:name="рекомендации-1"/>
    <w:p>
      <w:pPr>
        <w:pStyle w:val="Heading3"/>
      </w:pPr>
      <w:r>
        <w:t xml:space="preserve">Рекомендации</w:t>
      </w:r>
    </w:p>
    <w:p>
      <w:pPr>
        <w:pStyle w:val="Compact"/>
        <w:numPr>
          <w:ilvl w:val="0"/>
          <w:numId w:val="1009"/>
        </w:numPr>
      </w:pPr>
      <w:r>
        <w:t xml:space="preserve">Создать оператора-юрлицо в первые 90 дней.</w:t>
      </w:r>
    </w:p>
    <w:p>
      <w:pPr>
        <w:pStyle w:val="Compact"/>
        <w:numPr>
          <w:ilvl w:val="0"/>
          <w:numId w:val="1009"/>
        </w:numPr>
      </w:pPr>
      <w:r>
        <w:t xml:space="preserve">Подключить юридического советника уровня крупной российской консалтинговой компании (Bryan Cave / Городисский / Пепеляев).</w:t>
      </w:r>
    </w:p>
    <w:p>
      <w:pPr>
        <w:pStyle w:val="Compact"/>
        <w:numPr>
          <w:ilvl w:val="0"/>
          <w:numId w:val="1009"/>
        </w:numPr>
      </w:pPr>
      <w:r>
        <w:t xml:space="preserve">Подготовить пакет проектов НПА и провести презентацию для Банка России в первые 180 дней.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financial-due-diligence"/>
    <w:p>
      <w:pPr>
        <w:pStyle w:val="Heading2"/>
      </w:pPr>
      <w:r>
        <w:t xml:space="preserve">4. Financial Due Diligence</w:t>
      </w:r>
    </w:p>
    <w:bookmarkStart w:id="29" w:name="финансовая-модель"/>
    <w:p>
      <w:pPr>
        <w:pStyle w:val="Heading3"/>
      </w:pPr>
      <w:r>
        <w:t xml:space="preserve">4.1. Финансовая модель</w:t>
      </w:r>
    </w:p>
    <w:p>
      <w:pPr>
        <w:pStyle w:val="FirstParagraph"/>
      </w:pPr>
      <w:r>
        <w:t xml:space="preserve">Модель 10-летняя, базовая (BASE) / консервативная (CONSERVATIVE) / оптимистичная (OPTIMISTIC).</w:t>
      </w:r>
    </w:p>
    <w:p>
      <w:pPr>
        <w:pStyle w:val="BodyText"/>
      </w:pPr>
      <w:r>
        <w:rPr>
          <w:b/>
          <w:bCs/>
        </w:rPr>
        <w:t xml:space="preserve">Ключевые KPI (BASE):</w:t>
      </w:r>
      <w:r>
        <w:t xml:space="preserve"> </w:t>
      </w:r>
      <w:r>
        <w:t xml:space="preserve">- NPV @ WACC 22% =</w:t>
      </w:r>
      <w:r>
        <w:t xml:space="preserve"> </w:t>
      </w:r>
      <w:r>
        <w:rPr>
          <w:b/>
          <w:bCs/>
        </w:rPr>
        <w:t xml:space="preserve">170 млрд ₽</w:t>
      </w:r>
      <w:r>
        <w:t xml:space="preserve">;</w:t>
      </w:r>
      <w:r>
        <w:t xml:space="preserve"> </w:t>
      </w:r>
      <w:r>
        <w:t xml:space="preserve">- IRR ≈ 228% (с TV);</w:t>
      </w:r>
      <w:r>
        <w:t xml:space="preserve"> </w:t>
      </w:r>
      <w:r>
        <w:t xml:space="preserve">- Payback =</w:t>
      </w:r>
      <w:r>
        <w:t xml:space="preserve"> </w:t>
      </w:r>
      <w:r>
        <w:rPr>
          <w:b/>
          <w:bCs/>
        </w:rPr>
        <w:t xml:space="preserve">2,4 года</w:t>
      </w:r>
      <w:r>
        <w:t xml:space="preserve">;</w:t>
      </w:r>
      <w:r>
        <w:t xml:space="preserve"> </w:t>
      </w:r>
      <w:r>
        <w:t xml:space="preserve">- Пиковая потребность в финансировании =</w:t>
      </w:r>
      <w:r>
        <w:t xml:space="preserve"> </w:t>
      </w:r>
      <w:r>
        <w:rPr>
          <w:b/>
          <w:bCs/>
        </w:rPr>
        <w:t xml:space="preserve">1,3 млрд ₽</w:t>
      </w:r>
      <w:r>
        <w:t xml:space="preserve"> </w:t>
      </w:r>
      <w:r>
        <w:t xml:space="preserve">(стартовый раунд);</w:t>
      </w:r>
      <w:r>
        <w:t xml:space="preserve"> </w:t>
      </w:r>
      <w:r>
        <w:t xml:space="preserve">- Выручка год 5 = 37 млрд ₽;</w:t>
      </w:r>
      <w:r>
        <w:t xml:space="preserve"> </w:t>
      </w:r>
      <w:r>
        <w:t xml:space="preserve">- Выручка год 10 = 138 млрд ₽;</w:t>
      </w:r>
      <w:r>
        <w:t xml:space="preserve"> </w:t>
      </w:r>
      <w:r>
        <w:t xml:space="preserve">- EBITDA маржа год 10 ≈ 97% (отражает инфраструктурную природу: после построения платформы маржинальные расходы низкие).</w:t>
      </w:r>
    </w:p>
    <w:p>
      <w:pPr>
        <w:pStyle w:val="BodyText"/>
      </w:pPr>
      <w:r>
        <w:rPr>
          <w:b/>
          <w:bCs/>
        </w:rPr>
        <w:t xml:space="preserve">Допущения модели:</w:t>
      </w:r>
      <w:r>
        <w:t xml:space="preserve"> </w:t>
      </w:r>
      <w:r>
        <w:t xml:space="preserve">- Доля рынка от 25,5 трлн ₽ растёт с 0,5% в год 2 до 20% в год 10.</w:t>
      </w:r>
      <w:r>
        <w:t xml:space="preserve"> </w:t>
      </w:r>
      <w:r>
        <w:t xml:space="preserve">- Средняя комиссия за выпуск ЦФА: 0,5% номинала.</w:t>
      </w:r>
      <w:r>
        <w:t xml:space="preserve"> </w:t>
      </w:r>
      <w:r>
        <w:t xml:space="preserve">- Сервисная комиссия: 0,3% годовых от обращаемого ЦФА.</w:t>
      </w:r>
      <w:r>
        <w:t xml:space="preserve"> </w:t>
      </w:r>
      <w:r>
        <w:t xml:space="preserve">- CapEx: 850 млн ₽ за 18 мес.; OpEx: 380 млн ₽/год с +10%/год индексацией.</w:t>
      </w:r>
      <w:r>
        <w:t xml:space="preserve"> </w:t>
      </w:r>
      <w:r>
        <w:t xml:space="preserve">- WACC: 22% (основан на 10Y ОФЗ + риск-премия).</w:t>
      </w:r>
    </w:p>
    <w:bookmarkEnd w:id="29"/>
    <w:bookmarkStart w:id="30" w:name="чувствительность"/>
    <w:p>
      <w:pPr>
        <w:pStyle w:val="Heading3"/>
      </w:pPr>
      <w:r>
        <w:t xml:space="preserve">4.2. Чувствительность</w:t>
      </w:r>
    </w:p>
    <w:p>
      <w:pPr>
        <w:pStyle w:val="Compact"/>
        <w:numPr>
          <w:ilvl w:val="0"/>
          <w:numId w:val="1010"/>
        </w:numPr>
      </w:pPr>
      <w:r>
        <w:t xml:space="preserve">WACC ±3 п.п. → NPV ±25%;</w:t>
      </w:r>
    </w:p>
    <w:p>
      <w:pPr>
        <w:pStyle w:val="Compact"/>
        <w:numPr>
          <w:ilvl w:val="0"/>
          <w:numId w:val="1010"/>
        </w:numPr>
      </w:pPr>
      <w:r>
        <w:t xml:space="preserve">Доля рынка ×0,5 → NPV –27%;</w:t>
      </w:r>
    </w:p>
    <w:p>
      <w:pPr>
        <w:pStyle w:val="Compact"/>
        <w:numPr>
          <w:ilvl w:val="0"/>
          <w:numId w:val="1010"/>
        </w:numPr>
      </w:pPr>
      <w:r>
        <w:t xml:space="preserve">Комиссия ±20% → NPV ±21%.</w:t>
      </w:r>
    </w:p>
    <w:p>
      <w:pPr>
        <w:pStyle w:val="FirstParagraph"/>
      </w:pPr>
      <w:r>
        <w:t xml:space="preserve">Чувствительность асимметричная: даже консервативные сценарии (доля ×0,5; WACC 25%) дают</w:t>
      </w:r>
      <w:r>
        <w:t xml:space="preserve"> </w:t>
      </w:r>
      <w:r>
        <w:rPr>
          <w:b/>
          <w:bCs/>
        </w:rPr>
        <w:t xml:space="preserve">NPV ~57 млрд ₽</w:t>
      </w:r>
      <w:r>
        <w:t xml:space="preserve"> </w:t>
      </w:r>
      <w:r>
        <w:t xml:space="preserve">— модель устойчива.</w:t>
      </w:r>
    </w:p>
    <w:bookmarkEnd w:id="30"/>
    <w:bookmarkStart w:id="31" w:name="допущения-по-выручке"/>
    <w:p>
      <w:pPr>
        <w:pStyle w:val="Heading3"/>
      </w:pPr>
      <w:r>
        <w:t xml:space="preserve">4.3. Допущения по выручке</w:t>
      </w:r>
    </w:p>
    <w:p>
      <w:pPr>
        <w:pStyle w:val="Compact"/>
        <w:numPr>
          <w:ilvl w:val="0"/>
          <w:numId w:val="1011"/>
        </w:numPr>
      </w:pPr>
      <w:r>
        <w:t xml:space="preserve">Структура выручки эволюционирует от эмиссионной (год 5: 39%) к сервисной (год 10: 58%). Это типично для инфраструктурного оператора и означает повышенную предсказуемость денежных потоков на горизонте.</w:t>
      </w:r>
    </w:p>
    <w:bookmarkEnd w:id="31"/>
    <w:bookmarkStart w:id="32" w:name="оценка-green-1"/>
    <w:p>
      <w:pPr>
        <w:pStyle w:val="Heading3"/>
      </w:pPr>
      <w:r>
        <w:t xml:space="preserve">Оценка: 🟢 Green</w:t>
      </w:r>
    </w:p>
    <w:p>
      <w:pPr>
        <w:pStyle w:val="FirstParagraph"/>
      </w:pPr>
      <w:r>
        <w:t xml:space="preserve">Модель тщательная, допущения разумные, чувствительность отработана.</w:t>
      </w:r>
    </w:p>
    <w:bookmarkEnd w:id="32"/>
    <w:bookmarkStart w:id="33" w:name="рекомендации-2"/>
    <w:p>
      <w:pPr>
        <w:pStyle w:val="Heading3"/>
      </w:pPr>
      <w:r>
        <w:t xml:space="preserve">Рекомендации</w:t>
      </w:r>
    </w:p>
    <w:p>
      <w:pPr>
        <w:pStyle w:val="Compact"/>
        <w:numPr>
          <w:ilvl w:val="0"/>
          <w:numId w:val="1012"/>
        </w:numPr>
      </w:pPr>
      <w:r>
        <w:t xml:space="preserve">Подкрепить допущения по комиссиям бенчмарками российских ЦФА-операторов (Сбер, Атомайз).</w:t>
      </w:r>
    </w:p>
    <w:p>
      <w:pPr>
        <w:pStyle w:val="Compact"/>
        <w:numPr>
          <w:ilvl w:val="0"/>
          <w:numId w:val="1012"/>
        </w:numPr>
      </w:pPr>
      <w:r>
        <w:t xml:space="preserve">Подготовить квартальную модель на первые 24 месяца для управления денежным потоком пилотной фазы.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technical-due-diligence"/>
    <w:p>
      <w:pPr>
        <w:pStyle w:val="Heading2"/>
      </w:pPr>
      <w:r>
        <w:t xml:space="preserve">5. Technical Due Diligence</w:t>
      </w:r>
    </w:p>
    <w:bookmarkStart w:id="35" w:name="архитектура"/>
    <w:p>
      <w:pPr>
        <w:pStyle w:val="Heading3"/>
      </w:pPr>
      <w:r>
        <w:t xml:space="preserve">5.1. Архитектура</w:t>
      </w:r>
    </w:p>
    <w:p>
      <w:pPr>
        <w:pStyle w:val="Compact"/>
        <w:numPr>
          <w:ilvl w:val="0"/>
          <w:numId w:val="1013"/>
        </w:numPr>
      </w:pPr>
      <w:r>
        <w:t xml:space="preserve">7-слойная архитектура микросервисов.</w:t>
      </w:r>
    </w:p>
    <w:p>
      <w:pPr>
        <w:pStyle w:val="Compact"/>
        <w:numPr>
          <w:ilvl w:val="0"/>
          <w:numId w:val="1013"/>
        </w:numPr>
      </w:pPr>
      <w:r>
        <w:t xml:space="preserve">Геораспределение 3 ЦОД active-active-active + резервный.</w:t>
      </w:r>
    </w:p>
    <w:p>
      <w:pPr>
        <w:pStyle w:val="Compact"/>
        <w:numPr>
          <w:ilvl w:val="0"/>
          <w:numId w:val="1013"/>
        </w:numPr>
      </w:pPr>
      <w:r>
        <w:t xml:space="preserve">DLT-реестр на отечественной платформе.</w:t>
      </w:r>
    </w:p>
    <w:p>
      <w:pPr>
        <w:pStyle w:val="Compact"/>
        <w:numPr>
          <w:ilvl w:val="0"/>
          <w:numId w:val="1013"/>
        </w:numPr>
      </w:pPr>
      <w:r>
        <w:t xml:space="preserve">Импортонезависимость 100%.</w:t>
      </w:r>
    </w:p>
    <w:bookmarkEnd w:id="35"/>
    <w:bookmarkStart w:id="36" w:name="технологический-стек"/>
    <w:p>
      <w:pPr>
        <w:pStyle w:val="Heading3"/>
      </w:pPr>
      <w:r>
        <w:t xml:space="preserve">5.2. Технологический стек</w:t>
      </w:r>
    </w:p>
    <w:p>
      <w:pPr>
        <w:pStyle w:val="Compact"/>
        <w:numPr>
          <w:ilvl w:val="0"/>
          <w:numId w:val="1014"/>
        </w:numPr>
      </w:pPr>
      <w:r>
        <w:t xml:space="preserve">Astra Linux Special Edition / РЕД ОС.</w:t>
      </w:r>
    </w:p>
    <w:p>
      <w:pPr>
        <w:pStyle w:val="Compact"/>
        <w:numPr>
          <w:ilvl w:val="0"/>
          <w:numId w:val="1014"/>
        </w:numPr>
      </w:pPr>
      <w:r>
        <w:t xml:space="preserve">Postgres Pro / Ред БД / Tantor.</w:t>
      </w:r>
    </w:p>
    <w:p>
      <w:pPr>
        <w:pStyle w:val="Compact"/>
        <w:numPr>
          <w:ilvl w:val="0"/>
          <w:numId w:val="1014"/>
        </w:numPr>
      </w:pPr>
      <w:r>
        <w:t xml:space="preserve">Отечественный Kubernetes-дистрибутив.</w:t>
      </w:r>
    </w:p>
    <w:p>
      <w:pPr>
        <w:pStyle w:val="Compact"/>
        <w:numPr>
          <w:ilvl w:val="0"/>
          <w:numId w:val="1014"/>
        </w:numPr>
      </w:pPr>
      <w:r>
        <w:t xml:space="preserve">КриптоПро / ВипНет для криптографии.</w:t>
      </w:r>
    </w:p>
    <w:p>
      <w:pPr>
        <w:pStyle w:val="Compact"/>
        <w:numPr>
          <w:ilvl w:val="0"/>
          <w:numId w:val="1014"/>
        </w:numPr>
      </w:pPr>
      <w:r>
        <w:t xml:space="preserve">Apache Kafka.</w:t>
      </w:r>
    </w:p>
    <w:p>
      <w:pPr>
        <w:pStyle w:val="FirstParagraph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🟢 — все компоненты реалистичны, в реестре Минцифры или сертифицированы ФСТЭК.</w:t>
      </w:r>
    </w:p>
    <w:bookmarkEnd w:id="36"/>
    <w:bookmarkStart w:id="37" w:name="dlt-реестр"/>
    <w:p>
      <w:pPr>
        <w:pStyle w:val="Heading3"/>
      </w:pPr>
      <w:r>
        <w:t xml:space="preserve">5.3. DLT-реестр</w:t>
      </w:r>
    </w:p>
    <w:p>
      <w:pPr>
        <w:pStyle w:val="Compact"/>
        <w:numPr>
          <w:ilvl w:val="0"/>
          <w:numId w:val="1015"/>
        </w:numPr>
      </w:pPr>
      <w:r>
        <w:t xml:space="preserve">Permissioned DLT с PBFT-консенсусом.</w:t>
      </w:r>
    </w:p>
    <w:p>
      <w:pPr>
        <w:pStyle w:val="Compact"/>
        <w:numPr>
          <w:ilvl w:val="0"/>
          <w:numId w:val="1015"/>
        </w:numPr>
      </w:pPr>
      <w:r>
        <w:t xml:space="preserve">Привязка к Мастерчейн / Waves Enterprise — на этапе пилота требуется выбор поставщика.</w:t>
      </w:r>
    </w:p>
    <w:p>
      <w:pPr>
        <w:pStyle w:val="FirstParagraph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🟡 — выбор DLT-поставщика — критическое решение, нужно проводить PoC с двумя кандидатами.</w:t>
      </w:r>
    </w:p>
    <w:bookmarkEnd w:id="37"/>
    <w:bookmarkStart w:id="38" w:name="безопасность"/>
    <w:p>
      <w:pPr>
        <w:pStyle w:val="Heading3"/>
      </w:pPr>
      <w:r>
        <w:t xml:space="preserve">5.4. Безопасность</w:t>
      </w:r>
    </w:p>
    <w:p>
      <w:pPr>
        <w:pStyle w:val="Compact"/>
        <w:numPr>
          <w:ilvl w:val="0"/>
          <w:numId w:val="1016"/>
        </w:numPr>
      </w:pPr>
      <w:r>
        <w:t xml:space="preserve">Категория КИИ 1.</w:t>
      </w:r>
    </w:p>
    <w:p>
      <w:pPr>
        <w:pStyle w:val="Compact"/>
        <w:numPr>
          <w:ilvl w:val="0"/>
          <w:numId w:val="1016"/>
        </w:numPr>
      </w:pPr>
      <w:r>
        <w:t xml:space="preserve">ГОСТ Р 57580.1 уровень 4.</w:t>
      </w:r>
    </w:p>
    <w:p>
      <w:pPr>
        <w:pStyle w:val="Compact"/>
        <w:numPr>
          <w:ilvl w:val="0"/>
          <w:numId w:val="1016"/>
        </w:numPr>
      </w:pPr>
      <w:r>
        <w:t xml:space="preserve">УЗ-1 для ПДн.</w:t>
      </w:r>
    </w:p>
    <w:p>
      <w:pPr>
        <w:pStyle w:val="FirstParagraph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🟡 — амбициозный, но достижимый профиль. Требует сильную ИБ-команду и значительные затраты на сертификацию.</w:t>
      </w:r>
    </w:p>
    <w:bookmarkEnd w:id="38"/>
    <w:bookmarkStart w:id="39" w:name="команда"/>
    <w:p>
      <w:pPr>
        <w:pStyle w:val="Heading3"/>
      </w:pPr>
      <w:r>
        <w:t xml:space="preserve">5.5. Команда</w:t>
      </w:r>
    </w:p>
    <w:p>
      <w:pPr>
        <w:pStyle w:val="Compact"/>
        <w:numPr>
          <w:ilvl w:val="0"/>
          <w:numId w:val="1017"/>
        </w:numPr>
      </w:pPr>
      <w:r>
        <w:t xml:space="preserve">Заявленный размер к концу года 2 — 120 человек.</w:t>
      </w:r>
    </w:p>
    <w:p>
      <w:pPr>
        <w:pStyle w:val="Compact"/>
        <w:numPr>
          <w:ilvl w:val="0"/>
          <w:numId w:val="1017"/>
        </w:numPr>
      </w:pPr>
      <w:r>
        <w:t xml:space="preserve">На момент DD команда не сформирована (что нормально на текущей стадии).</w:t>
      </w:r>
    </w:p>
    <w:p>
      <w:pPr>
        <w:pStyle w:val="FirstParagraph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🟡 — найм 120 человек за 12–18 мес. требует ресурса; митигация — партнёрство с крупным интегратором (КРОК / IBS / Лига Цифровой Экономики / ICL).</w:t>
      </w:r>
    </w:p>
    <w:bookmarkEnd w:id="39"/>
    <w:bookmarkStart w:id="40" w:name="итог-technical-dd-amber"/>
    <w:p>
      <w:pPr>
        <w:pStyle w:val="Heading3"/>
      </w:pPr>
      <w:r>
        <w:t xml:space="preserve">Итог Technical DD: 🟡 Amber</w:t>
      </w:r>
    </w:p>
    <w:bookmarkEnd w:id="40"/>
    <w:bookmarkStart w:id="41" w:name="рекомендации-3"/>
    <w:p>
      <w:pPr>
        <w:pStyle w:val="Heading3"/>
      </w:pPr>
      <w:r>
        <w:t xml:space="preserve">Рекомендации</w:t>
      </w:r>
    </w:p>
    <w:p>
      <w:pPr>
        <w:pStyle w:val="Compact"/>
        <w:numPr>
          <w:ilvl w:val="0"/>
          <w:numId w:val="1018"/>
        </w:numPr>
      </w:pPr>
      <w:r>
        <w:t xml:space="preserve">Запустить PoC с двумя DLT-поставщиками в первые 90 дней.</w:t>
      </w:r>
    </w:p>
    <w:p>
      <w:pPr>
        <w:pStyle w:val="Compact"/>
        <w:numPr>
          <w:ilvl w:val="0"/>
          <w:numId w:val="1018"/>
        </w:numPr>
      </w:pPr>
      <w:r>
        <w:t xml:space="preserve">Заключить рамочное соглашение с крупным интегратором на расширение команды.</w:t>
      </w:r>
    </w:p>
    <w:p>
      <w:pPr>
        <w:pStyle w:val="Compact"/>
        <w:numPr>
          <w:ilvl w:val="0"/>
          <w:numId w:val="1018"/>
        </w:numPr>
      </w:pPr>
      <w:r>
        <w:t xml:space="preserve">На стадии MVP — fокус на core-сервисах (KYC, оценка, выпуск ЦФА, реестр), отложить второстепенное.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operational-due-diligence"/>
    <w:p>
      <w:pPr>
        <w:pStyle w:val="Heading2"/>
      </w:pPr>
      <w:r>
        <w:t xml:space="preserve">6. Operational Due Diligence</w:t>
      </w:r>
    </w:p>
    <w:bookmarkStart w:id="43" w:name="процессы"/>
    <w:p>
      <w:pPr>
        <w:pStyle w:val="Heading3"/>
      </w:pPr>
      <w:r>
        <w:t xml:space="preserve">6.1. Процессы</w:t>
      </w:r>
    </w:p>
    <w:p>
      <w:pPr>
        <w:pStyle w:val="FirstParagraph"/>
      </w:pPr>
      <w:r>
        <w:t xml:space="preserve">Жизненный цикл ЦФА описан в 19 шагах и в виде 6 ключевых этапов. Процессы детализированы в техдокументации.</w:t>
      </w:r>
    </w:p>
    <w:bookmarkEnd w:id="43"/>
    <w:bookmarkStart w:id="44" w:name="партнёрская-сеть"/>
    <w:p>
      <w:pPr>
        <w:pStyle w:val="Heading3"/>
      </w:pPr>
      <w:r>
        <w:t xml:space="preserve">6.2. Партнёрская сеть</w:t>
      </w:r>
    </w:p>
    <w:p>
      <w:pPr>
        <w:pStyle w:val="FirstParagraph"/>
      </w:pPr>
      <w:r>
        <w:t xml:space="preserve">Требуется набрать оценочные и страховые организации — на момент DD есть план, но нет заключённых соглашений.</w:t>
      </w:r>
    </w:p>
    <w:p>
      <w:pPr>
        <w:pStyle w:val="BodyText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🟡 — первые соглашения должны появиться в первые 180 дней.</w:t>
      </w:r>
    </w:p>
    <w:bookmarkEnd w:id="44"/>
    <w:bookmarkStart w:id="45" w:name="команда-и-подбор"/>
    <w:p>
      <w:pPr>
        <w:pStyle w:val="Heading3"/>
      </w:pPr>
      <w:r>
        <w:t xml:space="preserve">6.3. Команда и подбор</w:t>
      </w:r>
    </w:p>
    <w:p>
      <w:pPr>
        <w:pStyle w:val="FirstParagraph"/>
      </w:pPr>
      <w:r>
        <w:t xml:space="preserve">Не сформирована. Найм 120 человек за 12–18 мес. — реалистичная задача при правильном партнёрстве.</w:t>
      </w:r>
    </w:p>
    <w:p>
      <w:pPr>
        <w:pStyle w:val="BodyText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🟡 — задача на executive search.</w:t>
      </w:r>
    </w:p>
    <w:bookmarkEnd w:id="45"/>
    <w:bookmarkStart w:id="46" w:name="регуляторные-процессы"/>
    <w:p>
      <w:pPr>
        <w:pStyle w:val="Heading3"/>
      </w:pPr>
      <w:r>
        <w:t xml:space="preserve">6.4. Регуляторные процессы</w:t>
      </w:r>
    </w:p>
    <w:p>
      <w:pPr>
        <w:pStyle w:val="FirstParagraph"/>
      </w:pPr>
      <w:r>
        <w:t xml:space="preserve">Регуляторная отчётность — детально проработана в техдокументации.</w:t>
      </w:r>
    </w:p>
    <w:p>
      <w:pPr>
        <w:pStyle w:val="BodyText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🟢 — концептуально готово; реализация — в фазе разработки.</w:t>
      </w:r>
    </w:p>
    <w:bookmarkEnd w:id="46"/>
    <w:bookmarkStart w:id="47" w:name="итог-operational-dd-amber"/>
    <w:p>
      <w:pPr>
        <w:pStyle w:val="Heading3"/>
      </w:pPr>
      <w:r>
        <w:t xml:space="preserve">Итог Operational DD: 🟡 Amber</w:t>
      </w:r>
    </w:p>
    <w:bookmarkEnd w:id="47"/>
    <w:bookmarkStart w:id="48" w:name="рекомендации-4"/>
    <w:p>
      <w:pPr>
        <w:pStyle w:val="Heading3"/>
      </w:pPr>
      <w:r>
        <w:t xml:space="preserve">Рекомендации</w:t>
      </w:r>
    </w:p>
    <w:p>
      <w:pPr>
        <w:pStyle w:val="Compact"/>
        <w:numPr>
          <w:ilvl w:val="0"/>
          <w:numId w:val="1019"/>
        </w:numPr>
      </w:pPr>
      <w:r>
        <w:t xml:space="preserve">Подобрать CEO и CTO в первые 60 дней; затем разворачивание организационной структуры.</w:t>
      </w:r>
    </w:p>
    <w:p>
      <w:pPr>
        <w:pStyle w:val="Compact"/>
        <w:numPr>
          <w:ilvl w:val="0"/>
          <w:numId w:val="1019"/>
        </w:numPr>
      </w:pPr>
      <w:r>
        <w:t xml:space="preserve">Заключить рамочные соглашения с 2–3 оценочными и 2 страховыми компаниями в первые 180 дней.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tax-regulatory-due-diligence"/>
    <w:p>
      <w:pPr>
        <w:pStyle w:val="Heading2"/>
      </w:pPr>
      <w:r>
        <w:t xml:space="preserve">7. Tax &amp; Regulatory Due Diligence</w:t>
      </w:r>
    </w:p>
    <w:bookmarkStart w:id="50" w:name="налоговый-режим"/>
    <w:p>
      <w:pPr>
        <w:pStyle w:val="Heading3"/>
      </w:pPr>
      <w:r>
        <w:t xml:space="preserve">7.1. Налоговый режим</w:t>
      </w:r>
    </w:p>
    <w:p>
      <w:pPr>
        <w:pStyle w:val="FirstParagraph"/>
      </w:pPr>
      <w:r>
        <w:t xml:space="preserve">Операции с ЦФА регулируются:</w:t>
      </w:r>
      <w:r>
        <w:t xml:space="preserve"> </w:t>
      </w:r>
      <w:r>
        <w:t xml:space="preserve">- статьёй 214.11 НК РФ (НДФЛ);</w:t>
      </w:r>
      <w:r>
        <w:t xml:space="preserve"> </w:t>
      </w:r>
      <w:r>
        <w:t xml:space="preserve">- главой 25 НК РФ (налог на прибыль);</w:t>
      </w:r>
      <w:r>
        <w:t xml:space="preserve"> </w:t>
      </w:r>
      <w:r>
        <w:t xml:space="preserve">- подпунктами 1 и 38 пункта 2 статьи 149 НК РФ (НДС — освобождение в части).</w:t>
      </w:r>
    </w:p>
    <w:p>
      <w:pPr>
        <w:pStyle w:val="BodyText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🟡 — налоговая практика по ЦФА формируется; рекомендуется получить разъяснения Минфина / ФНС на этапе пилота.</w:t>
      </w:r>
    </w:p>
    <w:bookmarkEnd w:id="50"/>
    <w:bookmarkStart w:id="51" w:name="регуляторные-ставки-и-комиссии"/>
    <w:p>
      <w:pPr>
        <w:pStyle w:val="Heading3"/>
      </w:pPr>
      <w:r>
        <w:t xml:space="preserve">7.2. Регуляторные ставки и комиссии</w:t>
      </w:r>
    </w:p>
    <w:p>
      <w:pPr>
        <w:pStyle w:val="Compact"/>
        <w:numPr>
          <w:ilvl w:val="0"/>
          <w:numId w:val="1020"/>
        </w:numPr>
      </w:pPr>
      <w:r>
        <w:t xml:space="preserve">ЦБ РФ: лицензионные сборы — отсутствуют (отдельные плательщики госпошлины).</w:t>
      </w:r>
    </w:p>
    <w:p>
      <w:pPr>
        <w:pStyle w:val="Compact"/>
        <w:numPr>
          <w:ilvl w:val="0"/>
          <w:numId w:val="1020"/>
        </w:numPr>
      </w:pPr>
      <w:r>
        <w:t xml:space="preserve">Росфинмониторинг: без специальных сборов.</w:t>
      </w:r>
    </w:p>
    <w:bookmarkEnd w:id="51"/>
    <w:bookmarkStart w:id="52" w:name="налоговая-нагрузка-по-модели"/>
    <w:p>
      <w:pPr>
        <w:pStyle w:val="Heading3"/>
      </w:pPr>
      <w:r>
        <w:t xml:space="preserve">7.3. Налоговая нагрузка по модели</w:t>
      </w:r>
    </w:p>
    <w:p>
      <w:pPr>
        <w:pStyle w:val="Compact"/>
        <w:numPr>
          <w:ilvl w:val="0"/>
          <w:numId w:val="1021"/>
        </w:numPr>
      </w:pPr>
      <w:r>
        <w:t xml:space="preserve">Эффективная ставка налога на прибыль: 20% (стандартная).</w:t>
      </w:r>
    </w:p>
    <w:p>
      <w:pPr>
        <w:pStyle w:val="Compact"/>
        <w:numPr>
          <w:ilvl w:val="0"/>
          <w:numId w:val="1021"/>
        </w:numPr>
      </w:pPr>
      <w:r>
        <w:t xml:space="preserve">Страховые взносы: 30%.</w:t>
      </w:r>
    </w:p>
    <w:p>
      <w:pPr>
        <w:pStyle w:val="Compact"/>
        <w:numPr>
          <w:ilvl w:val="0"/>
          <w:numId w:val="1021"/>
        </w:numPr>
      </w:pPr>
      <w:r>
        <w:t xml:space="preserve">НДС: применимость по операциям подлежит уточнению.</w:t>
      </w:r>
    </w:p>
    <w:bookmarkEnd w:id="52"/>
    <w:bookmarkStart w:id="53" w:name="итог-amber"/>
    <w:p>
      <w:pPr>
        <w:pStyle w:val="Heading3"/>
      </w:pPr>
      <w:r>
        <w:t xml:space="preserve">Итог: 🟡 Amber</w:t>
      </w:r>
    </w:p>
    <w:bookmarkEnd w:id="53"/>
    <w:bookmarkStart w:id="54" w:name="рекомендации-5"/>
    <w:p>
      <w:pPr>
        <w:pStyle w:val="Heading3"/>
      </w:pPr>
      <w:r>
        <w:t xml:space="preserve">Рекомендации</w:t>
      </w:r>
    </w:p>
    <w:p>
      <w:pPr>
        <w:pStyle w:val="Compact"/>
        <w:numPr>
          <w:ilvl w:val="0"/>
          <w:numId w:val="1022"/>
        </w:numPr>
      </w:pPr>
      <w:r>
        <w:t xml:space="preserve">Получить разъяснения Минфина по налогообложению операций мены ЦФА.</w:t>
      </w:r>
    </w:p>
    <w:p>
      <w:pPr>
        <w:pStyle w:val="Compact"/>
        <w:numPr>
          <w:ilvl w:val="0"/>
          <w:numId w:val="1022"/>
        </w:numPr>
      </w:pPr>
      <w:r>
        <w:t xml:space="preserve">Получить разъяснения ФНС по НДФЛ-учёту операций.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esg-sustainability-due-diligence"/>
    <w:p>
      <w:pPr>
        <w:pStyle w:val="Heading2"/>
      </w:pPr>
      <w:r>
        <w:t xml:space="preserve">8. ESG / Sustainability Due Diligence</w:t>
      </w:r>
    </w:p>
    <w:bookmarkStart w:id="56" w:name="социальный-эффект"/>
    <w:p>
      <w:pPr>
        <w:pStyle w:val="Heading3"/>
      </w:pPr>
      <w:r>
        <w:t xml:space="preserve">8.1. Социальный эффект</w:t>
      </w:r>
    </w:p>
    <w:p>
      <w:pPr>
        <w:pStyle w:val="Compact"/>
        <w:numPr>
          <w:ilvl w:val="0"/>
          <w:numId w:val="1023"/>
        </w:numPr>
      </w:pPr>
      <w:r>
        <w:t xml:space="preserve">Развитие нацпроектов — массовый социальный эффект.</w:t>
      </w:r>
    </w:p>
    <w:p>
      <w:pPr>
        <w:pStyle w:val="Compact"/>
        <w:numPr>
          <w:ilvl w:val="0"/>
          <w:numId w:val="1023"/>
        </w:numPr>
      </w:pPr>
      <w:r>
        <w:t xml:space="preserve">Дополнительный доход для собственников залога — финансовая инклюзия.</w:t>
      </w:r>
    </w:p>
    <w:p>
      <w:pPr>
        <w:pStyle w:val="Compact"/>
        <w:numPr>
          <w:ilvl w:val="0"/>
          <w:numId w:val="1023"/>
        </w:numPr>
      </w:pPr>
      <w:r>
        <w:t xml:space="preserve">Рост занятости в инфраструктурных проектах.</w:t>
      </w:r>
    </w:p>
    <w:bookmarkEnd w:id="56"/>
    <w:bookmarkStart w:id="57" w:name="экологический-след"/>
    <w:p>
      <w:pPr>
        <w:pStyle w:val="Heading3"/>
      </w:pPr>
      <w:r>
        <w:t xml:space="preserve">8.2. Экологический след</w:t>
      </w:r>
    </w:p>
    <w:p>
      <w:pPr>
        <w:pStyle w:val="Compact"/>
        <w:numPr>
          <w:ilvl w:val="0"/>
          <w:numId w:val="1024"/>
        </w:numPr>
      </w:pPr>
      <w:r>
        <w:t xml:space="preserve">Платформа цифровая; основной экологический эффект — энергопотребление ЦОД.</w:t>
      </w:r>
    </w:p>
    <w:p>
      <w:pPr>
        <w:pStyle w:val="Compact"/>
        <w:numPr>
          <w:ilvl w:val="0"/>
          <w:numId w:val="1024"/>
        </w:numPr>
      </w:pPr>
      <w:r>
        <w:t xml:space="preserve">DLT-реестр permissioned — экологически нейтрален в отличие от PoW-блокчейнов.</w:t>
      </w:r>
    </w:p>
    <w:bookmarkEnd w:id="57"/>
    <w:bookmarkStart w:id="58" w:name="корпоративное-управление"/>
    <w:p>
      <w:pPr>
        <w:pStyle w:val="Heading3"/>
      </w:pPr>
      <w:r>
        <w:t xml:space="preserve">8.3. Корпоративное управление</w:t>
      </w:r>
    </w:p>
    <w:p>
      <w:pPr>
        <w:pStyle w:val="Compact"/>
        <w:numPr>
          <w:ilvl w:val="0"/>
          <w:numId w:val="1025"/>
        </w:numPr>
      </w:pPr>
      <w:r>
        <w:t xml:space="preserve">Прозрачная структура; все операции в неизменяемом аудит-логе.</w:t>
      </w:r>
    </w:p>
    <w:p>
      <w:pPr>
        <w:pStyle w:val="Compact"/>
        <w:numPr>
          <w:ilvl w:val="0"/>
          <w:numId w:val="1025"/>
        </w:numPr>
      </w:pPr>
      <w:r>
        <w:t xml:space="preserve">Регуляторный надзор Банка России.</w:t>
      </w:r>
    </w:p>
    <w:bookmarkEnd w:id="58"/>
    <w:bookmarkStart w:id="59" w:name="итог-green"/>
    <w:p>
      <w:pPr>
        <w:pStyle w:val="Heading3"/>
      </w:pPr>
      <w:r>
        <w:t xml:space="preserve">Итог: 🟢 Green</w:t>
      </w:r>
    </w:p>
    <w:p>
      <w:pPr>
        <w:pStyle w:val="FirstParagraph"/>
      </w:pPr>
      <w:r>
        <w:t xml:space="preserve">ESG-профиль сильный; проект — отличный кейс для государственного ESG-фондирования.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сводный-список-red-и-amber-флагов"/>
    <w:p>
      <w:pPr>
        <w:pStyle w:val="Heading2"/>
      </w:pPr>
      <w:r>
        <w:t xml:space="preserve">9. Сводный список Red и Amber-флагов</w:t>
      </w:r>
    </w:p>
    <w:bookmarkStart w:id="61" w:name="Xc5114d915983d845df561543037d32c5b228b83"/>
    <w:p>
      <w:pPr>
        <w:pStyle w:val="Heading3"/>
      </w:pPr>
      <w:r>
        <w:t xml:space="preserve">Red-флаги (требуют устранения как условие сделки)</w:t>
      </w:r>
    </w:p>
    <w:p>
      <w:pPr>
        <w:pStyle w:val="FirstParagraph"/>
      </w:pPr>
      <w:r>
        <w:t xml:space="preserve">На текущей стадии</w:t>
      </w:r>
      <w:r>
        <w:t xml:space="preserve"> </w:t>
      </w:r>
      <w:r>
        <w:rPr>
          <w:b/>
          <w:bCs/>
        </w:rPr>
        <w:t xml:space="preserve">критических red-флагов не выявлено</w:t>
      </w:r>
      <w:r>
        <w:t xml:space="preserve">. Регуляторная зависимость (поправки в 86-ФЗ и 259-ФЗ) переведена в Amber при наличии плана митигации.</w:t>
      </w:r>
    </w:p>
    <w:bookmarkEnd w:id="61"/>
    <w:bookmarkStart w:id="62" w:name="X518252f4b8944279673b1d23061186115d00c57"/>
    <w:p>
      <w:pPr>
        <w:pStyle w:val="Heading3"/>
      </w:pPr>
      <w:r>
        <w:t xml:space="preserve">Amber-флаги (план должен быть утверждён в первые 180 дней closing)</w:t>
      </w:r>
    </w:p>
    <w:p>
      <w:pPr>
        <w:pStyle w:val="Compact"/>
        <w:numPr>
          <w:ilvl w:val="0"/>
          <w:numId w:val="1026"/>
        </w:numPr>
      </w:pPr>
      <w:r>
        <w:t xml:space="preserve">Отсутствие оператора-юридического лица.</w:t>
      </w:r>
    </w:p>
    <w:p>
      <w:pPr>
        <w:pStyle w:val="Compact"/>
        <w:numPr>
          <w:ilvl w:val="0"/>
          <w:numId w:val="1026"/>
        </w:numPr>
      </w:pPr>
      <w:r>
        <w:t xml:space="preserve">Отсутствие лицензии Банка России (плановый срок получения — 12–15 мес.).</w:t>
      </w:r>
    </w:p>
    <w:p>
      <w:pPr>
        <w:pStyle w:val="Compact"/>
        <w:numPr>
          <w:ilvl w:val="0"/>
          <w:numId w:val="1026"/>
        </w:numPr>
      </w:pPr>
      <w:r>
        <w:t xml:space="preserve">Не выбран DLT-поставщик.</w:t>
      </w:r>
    </w:p>
    <w:p>
      <w:pPr>
        <w:pStyle w:val="Compact"/>
        <w:numPr>
          <w:ilvl w:val="0"/>
          <w:numId w:val="1026"/>
        </w:numPr>
      </w:pPr>
      <w:r>
        <w:t xml:space="preserve">Не сформирована команда (120 чел. к концу года 2).</w:t>
      </w:r>
    </w:p>
    <w:p>
      <w:pPr>
        <w:pStyle w:val="Compact"/>
        <w:numPr>
          <w:ilvl w:val="0"/>
          <w:numId w:val="1026"/>
        </w:numPr>
      </w:pPr>
      <w:r>
        <w:t xml:space="preserve">Отсутствуют соглашения с оценочными и страховыми партнёрами.</w:t>
      </w:r>
    </w:p>
    <w:p>
      <w:pPr>
        <w:pStyle w:val="Compact"/>
        <w:numPr>
          <w:ilvl w:val="0"/>
          <w:numId w:val="1026"/>
        </w:numPr>
      </w:pPr>
      <w:r>
        <w:t xml:space="preserve">Налоговая практика по операциям с ЦФА не устоявшаяся.</w:t>
      </w:r>
    </w:p>
    <w:p>
      <w:pPr>
        <w:pStyle w:val="Compact"/>
        <w:numPr>
          <w:ilvl w:val="0"/>
          <w:numId w:val="1026"/>
        </w:numPr>
      </w:pPr>
      <w:r>
        <w:t xml:space="preserve">Бинарный регуляторный риск (пакет НПА).</w:t>
      </w:r>
    </w:p>
    <w:bookmarkEnd w:id="62"/>
    <w:bookmarkStart w:id="63" w:name="рекомендации-по-структурированию-сделки"/>
    <w:p>
      <w:pPr>
        <w:pStyle w:val="Heading3"/>
      </w:pPr>
      <w:r>
        <w:t xml:space="preserve">Рекомендации по структурированию сделки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Транчирование инвестиций</w:t>
      </w:r>
      <w:r>
        <w:t xml:space="preserve"> </w:t>
      </w:r>
      <w:r>
        <w:t xml:space="preserve">по достижению milestones (создание юрлица, получение лицензии, выпуск первого ЦФА).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Резервирование 20% раунда</w:t>
      </w:r>
      <w:r>
        <w:t xml:space="preserve"> </w:t>
      </w:r>
      <w:r>
        <w:t xml:space="preserve">на параллельное юридическое сопровождение НПА (это критическая задача).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Условие лицензии</w:t>
      </w:r>
      <w:r>
        <w:t xml:space="preserve">: финальная транша связана с включением в реестр операторов ИС Банка России.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Совет директоров</w:t>
      </w:r>
      <w:r>
        <w:t xml:space="preserve"> </w:t>
      </w:r>
      <w:r>
        <w:t xml:space="preserve">оператора — с представителями инвестора и независимыми членами (минимум 30% независимых).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Опцион сотрудников</w:t>
      </w:r>
      <w:r>
        <w:t xml:space="preserve"> </w:t>
      </w:r>
      <w:r>
        <w:t xml:space="preserve">(ESOP) на 10% от пула — обязательное условие для удержания ключевых сотрудников.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итоговое-заключение"/>
    <w:p>
      <w:pPr>
        <w:pStyle w:val="Heading2"/>
      </w:pPr>
      <w:r>
        <w:t xml:space="preserve">10. Итоговое заключение</w:t>
      </w:r>
    </w:p>
    <w:p>
      <w:pPr>
        <w:pStyle w:val="FirstParagraph"/>
      </w:pPr>
      <w:r>
        <w:t xml:space="preserve">Проект</w:t>
      </w:r>
      <w:r>
        <w:t xml:space="preserve"> </w:t>
      </w:r>
      <w:r>
        <w:rPr>
          <w:b/>
          <w:bCs/>
        </w:rPr>
        <w:t xml:space="preserve">рекомендован к стартовому финансированию</w:t>
      </w:r>
      <w:r>
        <w:t xml:space="preserve"> </w:t>
      </w:r>
      <w:r>
        <w:t xml:space="preserve">при условии:</w:t>
      </w:r>
    </w:p>
    <w:p>
      <w:pPr>
        <w:pStyle w:val="Compact"/>
        <w:numPr>
          <w:ilvl w:val="0"/>
          <w:numId w:val="1028"/>
        </w:numPr>
      </w:pPr>
      <w:r>
        <w:t xml:space="preserve">Создание оператора-юрлица в первые 90 дней.</w:t>
      </w:r>
    </w:p>
    <w:p>
      <w:pPr>
        <w:pStyle w:val="Compact"/>
        <w:numPr>
          <w:ilvl w:val="0"/>
          <w:numId w:val="1028"/>
        </w:numPr>
      </w:pPr>
      <w:r>
        <w:t xml:space="preserve">Утверждённый план получения лицензии Банка России к месяцу 12.</w:t>
      </w:r>
    </w:p>
    <w:p>
      <w:pPr>
        <w:pStyle w:val="Compact"/>
        <w:numPr>
          <w:ilvl w:val="0"/>
          <w:numId w:val="1028"/>
        </w:numPr>
      </w:pPr>
      <w:r>
        <w:t xml:space="preserve">Утверждённый план параллельной работы с законодателями по принятию пакета НПА.</w:t>
      </w:r>
    </w:p>
    <w:p>
      <w:pPr>
        <w:pStyle w:val="Compact"/>
        <w:numPr>
          <w:ilvl w:val="0"/>
          <w:numId w:val="1028"/>
        </w:numPr>
      </w:pPr>
      <w:r>
        <w:t xml:space="preserve">Подбор CEO и CTO в первые 60 дней.</w:t>
      </w:r>
    </w:p>
    <w:p>
      <w:pPr>
        <w:pStyle w:val="Compact"/>
        <w:numPr>
          <w:ilvl w:val="0"/>
          <w:numId w:val="1028"/>
        </w:numPr>
      </w:pPr>
      <w:r>
        <w:t xml:space="preserve">PoC двух DLT-поставщиков в первые 90 дней.</w:t>
      </w:r>
    </w:p>
    <w:p>
      <w:pPr>
        <w:pStyle w:val="FirstParagraph"/>
      </w:pPr>
      <w:r>
        <w:rPr>
          <w:b/>
          <w:bCs/>
        </w:rPr>
        <w:t xml:space="preserve">Целевой стартовый раунд:</w:t>
      </w:r>
      <w:r>
        <w:t xml:space="preserve"> </w:t>
      </w:r>
      <w:r>
        <w:t xml:space="preserve">$ 15 млн (₽ 1,3 млрд) при post-money $ 75 млн (₽ 6,8 млрд); доля инвестора — 20%.</w:t>
      </w:r>
    </w:p>
    <w:p>
      <w:pPr>
        <w:pStyle w:val="BodyText"/>
      </w:pPr>
      <w:r>
        <w:rPr>
          <w:b/>
          <w:bCs/>
        </w:rPr>
        <w:t xml:space="preserve">Главный аргумент:</w:t>
      </w:r>
      <w:r>
        <w:t xml:space="preserve"> </w:t>
      </w:r>
      <w:r>
        <w:t xml:space="preserve">соотношение «потребность к потенциалу» = 1 : 20 000. Даже консервативный сценарий даёт NPV в десятки миллиардов рублей. Регуляторный риск — единственный значимый, и он бинарный с понятной митигацией.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DD-отчёт подготовлен в составе пакета проектной документации «Цифровая Платформа РСФСР» и предназначен для использования инвестором, советом директоров и регуляторами при оценке проекта. Документ не заменяет независимый DD аккредитованной аудиторской компанией и предназначен как структурированный обзор по методологии Большой Четвёрки.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2026-05-23T20:40:17Z</dcterms:created>
  <dcterms:modified xsi:type="dcterms:W3CDTF">2026-05-23T20:40:17Z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