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ЦПФСР — Презентация отчёта об оценке</w:t>
      </w:r>
    </w:p>
    <w:p>
      <w:pPr>
        <w:pStyle w:val="Subtitle"/>
      </w:pPr>
      <w:r>
        <w:t xml:space="preserve">Center Group Company · 26 мая 2026</w:t>
      </w:r>
    </w:p>
    <w:p>
      <w:pPr>
        <w:pStyle w:val="Author"/>
      </w:pPr>
      <w:r>
        <w:t xml:space="preserve">Кагиров Абдул-Хаким Ахмадович (Аслан Каа)</w:t>
      </w:r>
    </w:p>
    <w:p>
      <w:pPr>
        <w:pStyle w:val="Date"/>
      </w:pPr>
      <w:r>
        <w:t xml:space="preserve">27.05.2026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a75418b4c445cbe74cb4e6b91ee1e437cff762e"/>
    <w:p>
      <w:pPr>
        <w:pStyle w:val="Heading1"/>
      </w:pPr>
      <w:r>
        <w:t xml:space="preserve">ЦПФСР · Цифровая Платформа Финансирования Социального Развития</w:t>
      </w:r>
    </w:p>
    <w:p>
      <w:pPr>
        <w:pStyle w:val="FirstParagraph"/>
      </w:pPr>
      <w:r>
        <w:rPr>
          <w:b/>
          <w:bCs/>
        </w:rPr>
        <w:t xml:space="preserve">Независимая оценка справедливой стоимости имущественного комплекса проекта dpfsd.ru на 26 мая 2026 года</w:t>
      </w:r>
    </w:p>
    <w:p>
      <w:pPr>
        <w:pStyle w:val="Compact"/>
        <w:numPr>
          <w:ilvl w:val="0"/>
          <w:numId w:val="1001"/>
        </w:numPr>
      </w:pPr>
      <w:r>
        <w:t xml:space="preserve">Highest Tier · IVS 2025 · IFRS 13 · ФСО I–VI</w:t>
      </w:r>
    </w:p>
    <w:p>
      <w:pPr>
        <w:pStyle w:val="Compact"/>
        <w:numPr>
          <w:ilvl w:val="0"/>
          <w:numId w:val="1001"/>
        </w:numPr>
      </w:pPr>
      <w:r>
        <w:t xml:space="preserve">Триангуляция: DCF · Multiples · Berkus · Replacement Cost</w:t>
      </w:r>
    </w:p>
    <w:p>
      <w:pPr>
        <w:pStyle w:val="Compact"/>
        <w:numPr>
          <w:ilvl w:val="0"/>
          <w:numId w:val="1001"/>
        </w:numPr>
      </w:pPr>
      <w:r>
        <w:t xml:space="preserve">Объект: 100% долевого участия в проектной компании-операторе</w:t>
      </w:r>
    </w:p>
    <w:p>
      <w:pPr>
        <w:pStyle w:val="Compact"/>
        <w:numPr>
          <w:ilvl w:val="0"/>
          <w:numId w:val="1001"/>
        </w:numPr>
      </w:pPr>
      <w:r>
        <w:t xml:space="preserve">Подписант: Кагиров А.-Х. А. (Аслан Каа), Founder · CEO, Center Group Company</w:t>
      </w:r>
    </w:p>
    <w:p>
      <w:r>
        <w:pict>
          <v:rect style="width:0;height:1.5pt" o:hralign="center" o:hrstd="t" o:hr="t"/>
        </w:pict>
      </w:r>
    </w:p>
    <w:bookmarkEnd w:id="9"/>
    <w:bookmarkStart w:id="11" w:name="final-opinion-reasoned-base"/>
    <w:p>
      <w:pPr>
        <w:pStyle w:val="Heading1"/>
      </w:pPr>
      <w:r>
        <w:t xml:space="preserve">Final Opinion · Reasoned Base</w:t>
      </w:r>
    </w:p>
    <w:bookmarkStart w:id="10" w:name="m-715-млрд"/>
    <w:p>
      <w:pPr>
        <w:pStyle w:val="Heading2"/>
      </w:pPr>
      <w:r>
        <w:t xml:space="preserve">$100 M ≈ 7,15 млрд 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 bound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 млрд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$ 70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Reasoned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7,15 млрд 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$ 100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 bound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10,02 млрд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$ 140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7,60 млрд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$ 106 M</w:t>
            </w:r>
          </w:p>
        </w:tc>
      </w:tr>
    </w:tbl>
    <w:p>
      <w:pPr>
        <w:pStyle w:val="BodyText"/>
      </w:pPr>
      <w:r>
        <w:t xml:space="preserve">При единой stage discount 60% поверх взвешенной EV. USD/RUB ЦБ РФ 71,5460 на 26.05.2026.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объект-оценки"/>
    <w:p>
      <w:pPr>
        <w:pStyle w:val="Heading1"/>
      </w:pPr>
      <w:r>
        <w:t xml:space="preserve">Объект оценки</w:t>
      </w:r>
    </w:p>
    <w:p>
      <w:pPr>
        <w:pStyle w:val="FirstParagraph"/>
      </w:pPr>
      <w:r>
        <w:rPr>
          <w:b/>
          <w:bCs/>
        </w:rPr>
        <w:t xml:space="preserve">100% долевого участия в проектной компании-операторе ЦПФСР</w:t>
      </w:r>
    </w:p>
    <w:p>
      <w:pPr>
        <w:pStyle w:val="BodyText"/>
      </w:pPr>
      <w:r>
        <w:t xml:space="preserve">Имущественный комплекс:</w:t>
      </w:r>
    </w:p>
    <w:p>
      <w:pPr>
        <w:pStyle w:val="Compact"/>
        <w:numPr>
          <w:ilvl w:val="0"/>
          <w:numId w:val="1002"/>
        </w:numPr>
      </w:pPr>
      <w:r>
        <w:t xml:space="preserve">Концепт и архитектура (ноу-хау, ст. 1465 ГК · №4011265)</w:t>
      </w:r>
    </w:p>
    <w:p>
      <w:pPr>
        <w:pStyle w:val="Compact"/>
        <w:numPr>
          <w:ilvl w:val="0"/>
          <w:numId w:val="1002"/>
        </w:numPr>
      </w:pPr>
      <w:r>
        <w:t xml:space="preserve">ПО — PWA + Capacitor v6+ (Android / iOS / Windows)</w:t>
      </w:r>
    </w:p>
    <w:p>
      <w:pPr>
        <w:pStyle w:val="Compact"/>
        <w:numPr>
          <w:ilvl w:val="0"/>
          <w:numId w:val="1002"/>
        </w:numPr>
      </w:pPr>
      <w:r>
        <w:t xml:space="preserve">Серверная часть (в разработке, 12–18 мес.)</w:t>
      </w:r>
    </w:p>
    <w:p>
      <w:pPr>
        <w:pStyle w:val="Compact"/>
        <w:numPr>
          <w:ilvl w:val="0"/>
          <w:numId w:val="1002"/>
        </w:numPr>
      </w:pPr>
      <w:r>
        <w:t xml:space="preserve">Конструкторская документация ГОСТ 19 (13 документов)</w:t>
      </w:r>
    </w:p>
    <w:p>
      <w:pPr>
        <w:pStyle w:val="Compact"/>
        <w:numPr>
          <w:ilvl w:val="0"/>
          <w:numId w:val="1002"/>
        </w:numPr>
      </w:pPr>
      <w:r>
        <w:t xml:space="preserve">Бренд «ЦПФСР» · dpfsd.ru · 4 языка</w:t>
      </w:r>
    </w:p>
    <w:p>
      <w:pPr>
        <w:pStyle w:val="Compact"/>
        <w:numPr>
          <w:ilvl w:val="0"/>
          <w:numId w:val="1002"/>
        </w:numPr>
      </w:pPr>
      <w:r>
        <w:t xml:space="preserve">Договорный пакет (5 договоров)</w:t>
      </w:r>
    </w:p>
    <w:p>
      <w:pPr>
        <w:pStyle w:val="Compact"/>
        <w:numPr>
          <w:ilvl w:val="0"/>
          <w:numId w:val="1002"/>
        </w:numPr>
      </w:pPr>
      <w:r>
        <w:t xml:space="preserve">Юридический фундамент + учредительный пакет АО</w:t>
      </w:r>
    </w:p>
    <w:p>
      <w:r>
        <w:pict>
          <v:rect style="width:0;height:1.5pt" o:hralign="center" o:hrstd="t" o:hr="t"/>
        </w:pict>
      </w:r>
    </w:p>
    <w:bookmarkEnd w:id="12"/>
    <w:bookmarkStart w:id="13" w:name="двухстадийная-архитектура"/>
    <w:p>
      <w:pPr>
        <w:pStyle w:val="Heading1"/>
      </w:pPr>
      <w:r>
        <w:t xml:space="preserve">Двухстадийная архитектура</w:t>
      </w:r>
    </w:p>
    <w:p>
      <w:pPr>
        <w:pStyle w:val="FirstParagraph"/>
      </w:pPr>
      <w:r>
        <w:rPr>
          <w:b/>
          <w:bCs/>
        </w:rPr>
        <w:t xml:space="preserve">Wedge pilot-light → полная конфигурация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 1 (T+0…T+18)</w:t>
            </w:r>
          </w:p>
        </w:tc>
        <w:tc>
          <w:tcPr/>
          <w:p>
            <w:pPr>
              <w:pStyle w:val="Compact"/>
            </w:pPr>
            <w:r>
              <w:t xml:space="preserve">Stage 2 (T+36…T+60)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Действующий 259-ФЗ + 779-П</w:t>
            </w:r>
          </w:p>
        </w:tc>
        <w:tc>
          <w:tcPr/>
          <w:p>
            <w:pPr>
              <w:pStyle w:val="Compact"/>
            </w:pPr>
            <w:r>
              <w:t xml:space="preserve">Поправки 86-ФЗ + ЦБ как надзорный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ИС ЦФА (АО)</w:t>
            </w:r>
          </w:p>
        </w:tc>
        <w:tc>
          <w:tcPr/>
          <w:p>
            <w:pPr>
              <w:pStyle w:val="Compact"/>
            </w:pPr>
            <w:r>
              <w:t xml:space="preserve">Прямой канал ВЭБ.РФ ↔ Казначейство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Целевые ЦФА → социальная инфра</w:t>
            </w:r>
          </w:p>
        </w:tc>
        <w:tc>
          <w:tcPr/>
          <w:p>
            <w:pPr>
              <w:pStyle w:val="Compact"/>
            </w:pPr>
            <w:r>
              <w:t xml:space="preserve">Залоговая ёмкость ₽25,5 трлн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ВЭБ.РФ / банк-партнёр (рельсы)</w:t>
            </w:r>
          </w:p>
        </w:tc>
        <w:tc>
          <w:tcPr/>
          <w:p>
            <w:pPr>
              <w:pStyle w:val="Compact"/>
            </w:pPr>
            <w:r>
              <w:t xml:space="preserve">Доля рынка год 10 — 18% (Base)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ФСТЭК / ФСБ (КИИ-1)</w:t>
            </w:r>
          </w:p>
        </w:tc>
        <w:tc>
          <w:tcPr/>
          <w:p>
            <w:pPr>
              <w:pStyle w:val="Compact"/>
            </w:pPr>
            <w:r>
              <w:t xml:space="preserve">Лицензия первый-в-классе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 NPV ₽ 28,5 млрд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NPV ₽ 63,4 млрд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готовность-проекта-922-10"/>
    <w:p>
      <w:pPr>
        <w:pStyle w:val="Heading1"/>
      </w:pPr>
      <w:r>
        <w:t xml:space="preserve">Готовность проекта · 9,22 /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Концепция</w:t>
            </w:r>
          </w:p>
        </w:tc>
        <w:tc>
          <w:tcPr/>
          <w:p>
            <w:pPr>
              <w:pStyle w:val="Compact"/>
            </w:pPr>
            <w:r>
              <w:t xml:space="preserve">TRL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Юридический фундамент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Финансовая модель SoT v3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Клиентское приложение (PWA)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Серверная часть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Лицензирование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Брендинг и веб-сайт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Партнёрский каркас</w:t>
            </w:r>
          </w:p>
        </w:tc>
        <w:tc>
          <w:tcPr/>
          <w:p>
            <w:pPr>
              <w:pStyle w:val="Compact"/>
            </w:pPr>
            <w:r>
              <w:t xml:space="preserve">5/10</w:t>
            </w:r>
          </w:p>
        </w:tc>
      </w:tr>
    </w:tbl>
    <w:p>
      <w:pPr>
        <w:pStyle w:val="BodyText"/>
      </w:pPr>
      <w:r>
        <w:t xml:space="preserve">Композитный балл post-Горизонт-III:</w:t>
      </w:r>
      <w:r>
        <w:t xml:space="preserve"> </w:t>
      </w:r>
      <w:r>
        <w:rPr>
          <w:b/>
          <w:bCs/>
        </w:rPr>
        <w:t xml:space="preserve">9,22/10</w:t>
      </w:r>
      <w:r>
        <w:t xml:space="preserve"> </w:t>
      </w:r>
      <w:r>
        <w:t xml:space="preserve">· 12/12 критических, 27/33 средних, 29/29 CI.</w:t>
      </w:r>
    </w:p>
    <w:p>
      <w:r>
        <w:pict>
          <v:rect style="width:0;height:1.5pt" o:hralign="center" o:hrstd="t" o:hr="t"/>
        </w:pict>
      </w:r>
    </w:p>
    <w:bookmarkEnd w:id="14"/>
    <w:bookmarkStart w:id="15" w:name="макроэкономический-контекст-26.05.2026"/>
    <w:p>
      <w:pPr>
        <w:pStyle w:val="Heading1"/>
      </w:pPr>
      <w:r>
        <w:t xml:space="preserve">Макроэкономический контекст · 26.05.2026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Ключевая ставка ЦБ РФ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14,50%</w:t>
            </w:r>
          </w:p>
        </w:tc>
        <w:tc>
          <w:tcPr/>
          <w:p>
            <w:pPr>
              <w:pStyle w:val="Compact"/>
            </w:pPr>
            <w:r>
              <w:t xml:space="preserve">cbr.ru (с 28.04.2026)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ОФЗ рыночная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14,73%</w:t>
            </w:r>
          </w:p>
        </w:tc>
        <w:tc>
          <w:tcPr/>
          <w:p>
            <w:pPr>
              <w:pStyle w:val="Compact"/>
            </w:pPr>
            <w:r>
              <w:t xml:space="preserve">tradingeconomics (21.05.2026)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USD/RUB ЦБ РФ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71,5460</w:t>
            </w:r>
          </w:p>
        </w:tc>
        <w:tc>
          <w:tcPr/>
          <w:p>
            <w:pPr>
              <w:pStyle w:val="Compact"/>
            </w:pPr>
            <w:r>
              <w:t xml:space="preserve">cbr.ru (26.05.2026)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EUR/RUB ЦБ РФ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85,4493</w:t>
            </w:r>
          </w:p>
        </w:tc>
        <w:tc>
          <w:tcPr/>
          <w:p>
            <w:pPr>
              <w:pStyle w:val="Compact"/>
            </w:pPr>
            <w:r>
              <w:t xml:space="preserve">cbr.ru (26.05.2026)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Damodaran ERP Russia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8,13%</w:t>
            </w:r>
          </w:p>
        </w:tc>
        <w:tc>
          <w:tcPr/>
          <w:p>
            <w:pPr>
              <w:pStyle w:val="Compact"/>
            </w:pPr>
            <w:r>
              <w:t xml:space="preserve">ctryprem (05.01.2026)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Damodaran CRP Russia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3,90%</w:t>
            </w:r>
          </w:p>
        </w:tc>
        <w:tc>
          <w:tcPr/>
          <w:p>
            <w:pPr>
              <w:pStyle w:val="Compact"/>
            </w:pPr>
            <w:r>
              <w:t xml:space="preserve">ctryprem (05.01.2026)</w:t>
            </w:r>
          </w:p>
        </w:tc>
      </w:tr>
    </w:tbl>
    <w:p>
      <w:pPr>
        <w:pStyle w:val="BodyText"/>
      </w:pPr>
      <w:r>
        <w:t xml:space="preserve">Прогноз ЦБ на 2027 — средняя КС 8–10% → встречный положительный фактор к WACC.</w:t>
      </w:r>
    </w:p>
    <w:p>
      <w:r>
        <w:pict>
          <v:rect style="width:0;height:1.5pt" o:hralign="center" o:hrstd="t" o:hr="t"/>
        </w:pict>
      </w:r>
    </w:p>
    <w:bookmarkEnd w:id="15"/>
    <w:bookmarkStart w:id="16" w:name="глобальный-рынок-rwa-2026"/>
    <w:p>
      <w:pPr>
        <w:pStyle w:val="Heading1"/>
      </w:pPr>
      <w:r>
        <w:t xml:space="preserve">Глобальный рынок RWA · 2026</w:t>
      </w:r>
    </w:p>
    <w:p>
      <w:pPr>
        <w:pStyle w:val="Compact"/>
        <w:numPr>
          <w:ilvl w:val="0"/>
          <w:numId w:val="1003"/>
        </w:numPr>
      </w:pPr>
      <w:r>
        <w:t xml:space="preserve">On-chain RWA Q1 2026:</w:t>
      </w:r>
      <w:r>
        <w:t xml:space="preserve"> </w:t>
      </w:r>
      <w:r>
        <w:rPr>
          <w:b/>
          <w:bCs/>
        </w:rPr>
        <w:t xml:space="preserve">$22 млрд+</w:t>
      </w:r>
    </w:p>
    <w:p>
      <w:pPr>
        <w:pStyle w:val="Compact"/>
        <w:numPr>
          <w:ilvl w:val="0"/>
          <w:numId w:val="1003"/>
        </w:numPr>
      </w:pPr>
      <w:r>
        <w:t xml:space="preserve">Tokenized US Treasuries: $14 млрд</w:t>
      </w:r>
    </w:p>
    <w:p>
      <w:pPr>
        <w:pStyle w:val="Compact"/>
        <w:numPr>
          <w:ilvl w:val="0"/>
          <w:numId w:val="1003"/>
        </w:numPr>
      </w:pPr>
      <w:r>
        <w:t xml:space="preserve">BlackRock BUIDL: &gt;$2,1 млрд AuM на 8 сетях</w:t>
      </w:r>
    </w:p>
    <w:p>
      <w:pPr>
        <w:pStyle w:val="Compact"/>
        <w:numPr>
          <w:ilvl w:val="0"/>
          <w:numId w:val="1003"/>
        </w:numPr>
      </w:pPr>
      <w:r>
        <w:t xml:space="preserve">Ondo OUSG + USDY: $2,1 млрд TVL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Юрисдикция</w:t>
            </w:r>
          </w:p>
        </w:tc>
        <w:tc>
          <w:tcPr/>
          <w:p>
            <w:pPr>
              <w:pStyle w:val="Compac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EV, $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EV/Revenue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Securitize</w:t>
            </w:r>
          </w:p>
        </w:tc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t xml:space="preserve">Series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Polymath / Tokeny</w:t>
            </w:r>
          </w:p>
        </w:tc>
        <w:tc>
          <w:tcPr/>
          <w:p>
            <w:pPr>
              <w:pStyle w:val="Compact"/>
            </w:pPr>
            <w:r>
              <w:t xml:space="preserve">CA · LUX</w:t>
            </w:r>
          </w:p>
        </w:tc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HQLAx</w:t>
            </w:r>
          </w:p>
        </w:tc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Series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Atomyze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СберCFA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Медиана 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14,2×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целевая-залоговая-ёмкость-255-трлн"/>
    <w:p>
      <w:pPr>
        <w:pStyle w:val="Heading1"/>
      </w:pPr>
      <w:r>
        <w:t xml:space="preserve">Целевая залоговая ёмкость · ₽ 25,5 трлн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Объём, трлн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Адресуемая, трлн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Жилой фонд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Коммерческая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Земельные участки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25,5</w:t>
            </w:r>
          </w:p>
        </w:tc>
      </w:tr>
    </w:tbl>
    <w:p>
      <w:pPr>
        <w:pStyle w:val="BodyText"/>
      </w:pPr>
      <w:r>
        <w:t xml:space="preserve">Логика: 10% активов вовлечены в систему ЦФА на 10 лет; LTV 50% (Базель).</w:t>
      </w:r>
    </w:p>
    <w:p>
      <w:pPr>
        <w:pStyle w:val="BodyText"/>
      </w:pPr>
      <w:r>
        <w:t xml:space="preserve">Целевая доля рынка год 10: Base 18%, Conservative 7%, Optimistic 25%.</w:t>
      </w:r>
    </w:p>
    <w:p>
      <w:r>
        <w:pict>
          <v:rect style="width:0;height:1.5pt" o:hralign="center" o:hrstd="t" o:hr="t"/>
        </w:pict>
      </w:r>
    </w:p>
    <w:bookmarkEnd w:id="17"/>
    <w:bookmarkStart w:id="18" w:name="институциональный-контур-stage-1"/>
    <w:p>
      <w:pPr>
        <w:pStyle w:val="Heading1"/>
      </w:pPr>
      <w:r>
        <w:t xml:space="preserve">Институциональный контур Stage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ЦБ РФ</w:t>
      </w:r>
      <w:r>
        <w:t xml:space="preserve"> </w:t>
      </w:r>
      <w:r>
        <w:t xml:space="preserve">— надзорный регулятор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Минфин РФ</w:t>
      </w:r>
      <w:r>
        <w:t xml:space="preserve"> </w:t>
      </w:r>
      <w:r>
        <w:t xml:space="preserve">— Минфин РФ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Минэкономразвития</w:t>
      </w:r>
      <w:r>
        <w:t xml:space="preserve"> </w:t>
      </w:r>
      <w:r>
        <w:t xml:space="preserve">— Минэкономразвития РФ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ВЭБ.РФ + банк-партнёр</w:t>
      </w:r>
      <w:r>
        <w:t xml:space="preserve"> </w:t>
      </w:r>
      <w:r>
        <w:t xml:space="preserve">— каналы целевого фондирования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Госдума · ФинКомитет</w:t>
      </w:r>
      <w:r>
        <w:t xml:space="preserve"> </w:t>
      </w:r>
      <w:r>
        <w:t xml:space="preserve">— Госдума РФ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Пилот-регионы</w:t>
      </w:r>
      <w:r>
        <w:t xml:space="preserve"> </w:t>
      </w:r>
      <w:r>
        <w:t xml:space="preserve">— Татарстан · Тюмень</w:t>
      </w:r>
    </w:p>
    <w:p>
      <w:r>
        <w:pict>
          <v:rect style="width:0;height:1.5pt" o:hralign="center" o:hrstd="t" o:hr="t"/>
        </w:pict>
      </w:r>
    </w:p>
    <w:bookmarkEnd w:id="18"/>
    <w:bookmarkStart w:id="19" w:name="методология-триангуляция"/>
    <w:p>
      <w:pPr>
        <w:pStyle w:val="Heading1"/>
      </w:pPr>
      <w:r>
        <w:t xml:space="preserve">Методология · триангуляция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Применение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multi-stage TV, WACC 29,5% RUB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EV/Revenue 5Y · 14,2× медиана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Risk-Adjusted Berkus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×17 для российского масштаба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Replacement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×1,75 премия за защищённый IP</w:t>
            </w:r>
          </w:p>
        </w:tc>
      </w:tr>
    </w:tbl>
    <w:p>
      <w:pPr>
        <w:pStyle w:val="BodyText"/>
      </w:pPr>
      <w:r>
        <w:t xml:space="preserve">Единый stage discount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поверх свёртки (без double-counting).</w:t>
      </w:r>
    </w:p>
    <w:p>
      <w:pPr>
        <w:pStyle w:val="BodyText"/>
      </w:pPr>
      <w:r>
        <w:t xml:space="preserve">Стандарты: IVS 2025 · IFRS 13 · ФСО I–VI · AICPA SSVS-1 · IPEV.</w:t>
      </w:r>
    </w:p>
    <w:p>
      <w:r>
        <w:pict>
          <v:rect style="width:0;height:1.5pt" o:hralign="center" o:hrstd="t" o:hr="t"/>
        </w:pict>
      </w:r>
    </w:p>
    <w:bookmarkEnd w:id="19"/>
    <w:bookmarkStart w:id="20" w:name="wacc-295-build-up"/>
    <w:p>
      <w:pPr>
        <w:pStyle w:val="Heading1"/>
      </w:pPr>
      <w:r>
        <w:t xml:space="preserve">WACC = 29,5% · build-up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t xml:space="preserve">f</w:t>
            </w:r>
            <w:r>
              <w:t xml:space="preserve"> </w:t>
            </w:r>
            <w:r>
              <w:t xml:space="preserve">(10Y ОФЗ, RUB)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(Financial Services)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Russia (Damodaran)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· ERP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/ size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WACC расчётный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WACC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29,5%</w:t>
            </w:r>
          </w:p>
        </w:tc>
      </w:tr>
    </w:tbl>
    <w:p>
      <w:pPr>
        <w:pStyle w:val="BodyText"/>
      </w:pPr>
      <w:r>
        <w:t xml:space="preserve">Sanity checks: CAPM 24,08% · КС ЦБ + спред 29,50% · global USD-WACC + дифф. инфляции 26–28%.</w:t>
      </w:r>
    </w:p>
    <w:p>
      <w:r>
        <w:pict>
          <v:rect style="width:0;height:1.5pt" o:hralign="center" o:hrstd="t" o:hr="t"/>
        </w:pict>
      </w:r>
    </w:p>
    <w:bookmarkEnd w:id="20"/>
    <w:bookmarkStart w:id="21" w:name="free-cash-flow-20252034"/>
    <w:p>
      <w:pPr>
        <w:pStyle w:val="Heading1"/>
      </w:pPr>
      <w:r>
        <w:t xml:space="preserve">Free Cash Flow · 2025–2034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Маржа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581,98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418,23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325,02</w:t>
            </w:r>
          </w:p>
        </w:tc>
      </w:tr>
    </w:tbl>
    <w:p>
      <w:pPr>
        <w:pStyle w:val="BodyText"/>
      </w:pPr>
      <w:r>
        <w:t xml:space="preserve">Все цифры — млрд ₽.</w:t>
      </w:r>
    </w:p>
    <w:p>
      <w:r>
        <w:pict>
          <v:rect style="width:0;height:1.5pt" o:hralign="center" o:hrstd="t" o:hr="t"/>
        </w:pict>
      </w:r>
    </w:p>
    <w:bookmarkEnd w:id="21"/>
    <w:bookmarkStart w:id="22" w:name="dcf-multi-stage-terminal-value"/>
    <w:p>
      <w:pPr>
        <w:pStyle w:val="Heading1"/>
      </w:pPr>
      <w:r>
        <w:t xml:space="preserve">DCF · Multi-stage Terminal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млрд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 PV FCF 2025–2034 (WACC 29,5%)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TV фаза I (2035–2039)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TV фаза II (2040–2044)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TV perpetuity (2045+)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Value DCF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63,45</w:t>
            </w:r>
          </w:p>
        </w:tc>
      </w:tr>
    </w:tbl>
    <w:p>
      <w:pPr>
        <w:pStyle w:val="BodyText"/>
      </w:pPr>
      <w:r>
        <w:t xml:space="preserve">Доля TV в полной NPV:</w:t>
      </w:r>
      <w:r>
        <w:t xml:space="preserve"> </w:t>
      </w:r>
      <w:r>
        <w:rPr>
          <w:b/>
          <w:bCs/>
        </w:rPr>
        <w:t xml:space="preserve">12,3%</w:t>
      </w:r>
      <w:r>
        <w:t xml:space="preserve"> </w:t>
      </w:r>
      <w:r>
        <w:t xml:space="preserve">(защитимо).</w:t>
      </w:r>
    </w:p>
    <w:p>
      <w:pPr>
        <w:pStyle w:val="BodyText"/>
      </w:pPr>
      <w:r>
        <w:rPr>
          <w:b/>
          <w:bCs/>
        </w:rPr>
        <w:t xml:space="preserve">DCF Pre-money после stage discount 60% = $ 355 M ≈ 25,38 млрд ₽</w:t>
      </w:r>
    </w:p>
    <w:p>
      <w:r>
        <w:pict>
          <v:rect style="width:0;height:1.5pt" o:hralign="center" o:hrstd="t" o:hr="t"/>
        </w:pict>
      </w:r>
    </w:p>
    <w:bookmarkEnd w:id="22"/>
    <w:bookmarkStart w:id="23" w:name="comparable-multiples-380-m"/>
    <w:p>
      <w:pPr>
        <w:pStyle w:val="Heading1"/>
      </w:pPr>
      <w:r>
        <w:t xml:space="preserve">Comparable Multiples · $ 380 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 год 5 (2029)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$ 524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Медианный мультипликатор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</w:t>
            </w:r>
            <w:r>
              <w:t xml:space="preserve">5Y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$ 7 441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Дисконт WACC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</w:t>
            </w:r>
            <w:r>
              <w:t xml:space="preserve">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$ 2 069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Early-stage 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Multiples Pre-money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$ 380 M</w:t>
            </w:r>
          </w:p>
        </w:tc>
      </w:tr>
    </w:tbl>
    <w:p>
      <w:pPr>
        <w:pStyle w:val="BodyText"/>
      </w:pPr>
      <w:r>
        <w:t xml:space="preserve">Comps: Securitize · Polymath / Tokeny · HQLAx · Atomyze · СберCFA.</w:t>
      </w:r>
    </w:p>
    <w:p>
      <w:r>
        <w:pict>
          <v:rect style="width:0;height:1.5pt" o:hralign="center" o:hrstd="t" o:hr="t"/>
        </w:pict>
      </w:r>
    </w:p>
    <w:bookmarkEnd w:id="23"/>
    <w:bookmarkStart w:id="24" w:name="berkus-17-asset-175"/>
    <w:p>
      <w:pPr>
        <w:pStyle w:val="Heading1"/>
      </w:pPr>
      <w:r>
        <w:t xml:space="preserve">Berkus ×17 · Asset ×1,75</w:t>
      </w:r>
    </w:p>
    <w:p>
      <w:pPr>
        <w:pStyle w:val="FirstParagraph"/>
      </w:pPr>
      <w:r>
        <w:rPr>
          <w:b/>
          <w:bCs/>
        </w:rPr>
        <w:t xml:space="preserve">Berkus = $ 35 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idea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relationships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rollout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 × 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$ 35 M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Asset = $ 20 M:</w:t>
      </w:r>
      <w:r>
        <w:t xml:space="preserve"> </w:t>
      </w:r>
      <w:r>
        <w:t xml:space="preserve">Σ воспроизводство 815 млн ₽ × 1,75 / 71,55 = $ 20 M.</w:t>
      </w:r>
    </w:p>
    <w:p>
      <w:r>
        <w:pict>
          <v:rect style="width:0;height:1.5pt" o:hralign="center" o:hrstd="t" o:hr="t"/>
        </w:pict>
      </w:r>
    </w:p>
    <w:bookmarkEnd w:id="24"/>
    <w:bookmarkStart w:id="25" w:name="согласование-результатов"/>
    <w:p>
      <w:pPr>
        <w:pStyle w:val="Heading1"/>
      </w:pPr>
      <w:r>
        <w:t xml:space="preserve">Согласование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Вклад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Berkus ×17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×1,75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Взвешенная EV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249,0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Stage discount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(единый, поверх свёртки)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Reasoned Value Pre-money = $ 100 M ≈ 7,15 млрд ₽</w:t>
      </w:r>
    </w:p>
    <w:p>
      <w:r>
        <w:pict>
          <v:rect style="width:0;height:1.5pt" o:hralign="center" o:hrstd="t" o:hr="t"/>
        </w:pict>
      </w:r>
    </w:p>
    <w:bookmarkEnd w:id="25"/>
    <w:bookmarkStart w:id="26" w:name="сценарный-анализ"/>
    <w:p>
      <w:pPr>
        <w:pStyle w:val="Heading1"/>
      </w:pPr>
      <w:r>
        <w:t xml:space="preserve">Сценарный анализ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$ 140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 млрд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$ 100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63,4 млрд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$ 70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 млрд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$ 106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60,1 млрд ₽</w:t>
            </w:r>
          </w:p>
        </w:tc>
      </w:tr>
    </w:tbl>
    <w:p>
      <w:pPr>
        <w:pStyle w:val="BodyText"/>
      </w:pPr>
      <w:r>
        <w:t xml:space="preserve">Reasoned Base $100 M &lt; Expected $106 M → защитимая переговорная нижняя граница.</w:t>
      </w:r>
    </w:p>
    <w:p>
      <w:r>
        <w:pict>
          <v:rect style="width:0;height:1.5pt" o:hralign="center" o:hrstd="t" o:hr="t"/>
        </w:pict>
      </w:r>
    </w:p>
    <w:bookmarkEnd w:id="26"/>
    <w:bookmarkStart w:id="27" w:name="tornado-диаграмма-топ-7"/>
    <w:p>
      <w:pPr>
        <w:pStyle w:val="Heading1"/>
      </w:pPr>
      <w:r>
        <w:t xml:space="preserve">Tornado-диаграмма · топ-7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Драйвер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Эффект, ±млрд ₽ NPV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принятия НПА (T+24 vs T+36)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рынка год 10 (±7 п.п.)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(±3 п.п.)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OpEx-уплифт (±20%)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Тарифная комиссия (±4 bps)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запуска (±6 мес.)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EBITDA-маржа в TV (±5 п.п.)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onte-carlo-1000-итераций"/>
    <w:p>
      <w:pPr>
        <w:pStyle w:val="Heading1"/>
      </w:pPr>
      <w:r>
        <w:t xml:space="preserve">Monte Carlo · 1000 итераций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Перцентиль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NPV, млрд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Медиана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P(NPV &gt; 50 млрд ₽) = 75%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P(NPV &lt; 0) = 4,2%</w:t>
      </w:r>
    </w:p>
    <w:p>
      <w:pPr>
        <w:pStyle w:val="FirstParagraph"/>
      </w:pPr>
      <w:r>
        <w:t xml:space="preserve">Корреляции: WACC ↔ КС ЦБ (+0,75); доля рынка ↔ срок НПА (−0,55).</w:t>
      </w:r>
    </w:p>
    <w:p>
      <w:r>
        <w:pict>
          <v:rect style="width:0;height:1.5pt" o:hralign="center" o:hrstd="t" o:hr="t"/>
        </w:pict>
      </w:r>
    </w:p>
    <w:bookmarkEnd w:id="28"/>
    <w:bookmarkStart w:id="29" w:name="чувствительность-к-wacc"/>
    <w:p>
      <w:pPr>
        <w:pStyle w:val="Heading1"/>
      </w:pPr>
      <w:r>
        <w:t xml:space="preserve">Чувствительность к WACC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EV, млрд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Pre-money, $ млн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29,5% (Base)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63,45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</w:tr>
    </w:tbl>
    <w:p>
      <w:pPr>
        <w:pStyle w:val="BodyText"/>
      </w:pPr>
      <w:r>
        <w:t xml:space="preserve">Снижение ключевой ставки в 2027 (прогноз 8–10%) даёт значительный uplift.</w:t>
      </w:r>
    </w:p>
    <w:p>
      <w:r>
        <w:pict>
          <v:rect style="width:0;height:1.5pt" o:hralign="center" o:hrstd="t" o:hr="t"/>
        </w:pict>
      </w:r>
    </w:p>
    <w:bookmarkEnd w:id="29"/>
    <w:bookmarkStart w:id="30" w:name="структура-сделки-series-a"/>
    <w:p>
      <w:pPr>
        <w:pStyle w:val="Heading1"/>
      </w:pPr>
      <w:r>
        <w:t xml:space="preserve">Структура сделки Series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Pre-money (Reasoned Base)</w:t>
            </w:r>
          </w:p>
        </w:tc>
        <w:tc>
          <w:tcPr/>
          <w:p>
            <w:pPr>
              <w:pStyle w:val="Compact"/>
            </w:pPr>
            <w:r>
              <w:t xml:space="preserve">$ 100,0 M · 7,15 млрд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Раунд</w:t>
            </w:r>
          </w:p>
        </w:tc>
        <w:tc>
          <w:tcPr/>
          <w:p>
            <w:pPr>
              <w:pStyle w:val="Compact"/>
            </w:pPr>
            <w:r>
              <w:t xml:space="preserve">$ 15,0 M · 1,073 млрд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Post-money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$ 115,0 M · 8,23 млрд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Доля инвестора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13,04%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ESOP-резерв</w:t>
            </w:r>
          </w:p>
        </w:tc>
        <w:tc>
          <w:tcPr/>
          <w:p>
            <w:pPr>
              <w:pStyle w:val="Compact"/>
            </w:pPr>
            <w:r>
              <w:t xml:space="preserve">10% (после раунда)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Совет директоров</w:t>
            </w:r>
          </w:p>
        </w:tc>
        <w:tc>
          <w:tcPr/>
          <w:p>
            <w:pPr>
              <w:pStyle w:val="Compact"/>
            </w:pPr>
            <w:r>
              <w:t xml:space="preserve">3/5 независимых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сопоставление-с-международными"/>
    <w:p>
      <w:pPr>
        <w:pStyle w:val="Heading1"/>
      </w:pPr>
      <w:r>
        <w:t xml:space="preserve">Сопоставление с международными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Юрисдикция</w:t>
            </w:r>
          </w:p>
        </w:tc>
        <w:tc>
          <w:tcPr/>
          <w:p>
            <w:pPr>
              <w:pStyle w:val="Compac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Pre-money, $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Securitize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</w:pPr>
            <w:r>
              <w:t xml:space="preserve">Series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HQLAx</w:t>
            </w:r>
          </w:p>
        </w:tc>
        <w:tc>
          <w:tcPr/>
          <w:p>
            <w:pPr>
              <w:pStyle w:val="Compact"/>
            </w:pPr>
            <w:r>
              <w:t xml:space="preserve">Швейцария</w:t>
            </w:r>
          </w:p>
        </w:tc>
        <w:tc>
          <w:tcPr/>
          <w:p>
            <w:pPr>
              <w:pStyle w:val="Compact"/>
            </w:pPr>
            <w:r>
              <w:t xml:space="preserve">Series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ЦПФСР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Россия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Pre-MVP-Pro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Atomyze</w:t>
            </w:r>
          </w:p>
        </w:tc>
        <w:tc>
          <w:tcPr/>
          <w:p>
            <w:pPr>
              <w:pStyle w:val="Compact"/>
            </w:pPr>
            <w:r>
              <w:t xml:space="preserve">Россия</w:t>
            </w:r>
          </w:p>
        </w:tc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Polymath</w:t>
            </w:r>
          </w:p>
        </w:tc>
        <w:tc>
          <w:tcPr/>
          <w:p>
            <w:pPr>
              <w:pStyle w:val="Compact"/>
            </w:pPr>
            <w:r>
              <w:t xml:space="preserve">CA/BB</w:t>
            </w:r>
          </w:p>
        </w:tc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Tokeny</w:t>
            </w:r>
          </w:p>
        </w:tc>
        <w:tc>
          <w:tcPr/>
          <w:p>
            <w:pPr>
              <w:pStyle w:val="Compact"/>
            </w:pPr>
            <w:r>
              <w:t xml:space="preserve">Люксембург</w:t>
            </w:r>
          </w:p>
        </w:tc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</w:tbl>
    <w:p>
      <w:pPr>
        <w:pStyle w:val="BodyText"/>
      </w:pPr>
      <w:r>
        <w:t xml:space="preserve">Превышение над Atomyze ($85 M) обусловлено wedge-конструкцией под социальную инфраструктуру и размером целевой ёмкости (₽ 25 трлн vs ~₽ 0,5 трлн corporate-debt у Atomyze).</w:t>
      </w:r>
    </w:p>
    <w:p>
      <w:r>
        <w:pict>
          <v:rect style="width:0;height:1.5pt" o:hralign="center" o:hrstd="t" o:hr="t"/>
        </w:pict>
      </w:r>
    </w:p>
    <w:bookmarkEnd w:id="31"/>
    <w:bookmarkStart w:id="32" w:name="red-flags-7-точек-атаки"/>
    <w:p>
      <w:pPr>
        <w:pStyle w:val="Heading1"/>
      </w:pPr>
      <w:r>
        <w:t xml:space="preserve">Red Flags · 7 точек атаки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Регуляторная бинарность</w:t>
      </w:r>
      <w:r>
        <w:t xml:space="preserve"> </w:t>
      </w:r>
      <w:r>
        <w:t xml:space="preserve">— wedge защищает Stage 1; conservative NPV ₽ 28,5 млрд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Damodaran &gt; 30 дней</w:t>
      </w:r>
      <w:r>
        <w:t xml:space="preserve"> </w:t>
      </w:r>
      <w:r>
        <w:t xml:space="preserve">— sanity-check через КС ЦБ + спред даёт идентичный WACC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Comps в РФ — узкая выборка</w:t>
      </w:r>
      <w:r>
        <w:t xml:space="preserve"> </w:t>
      </w:r>
      <w:r>
        <w:t xml:space="preserve">— вес Multiples 30%; early-stage discount 81,6%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Серверная часть TRL 4/10</w:t>
      </w:r>
      <w:r>
        <w:t xml:space="preserve"> </w:t>
      </w:r>
      <w:r>
        <w:t xml:space="preserve">— Replacement Cost вес 10%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LoI / MoU отсутствуют</w:t>
      </w:r>
      <w:r>
        <w:t xml:space="preserve"> </w:t>
      </w:r>
      <w:r>
        <w:t xml:space="preserve">— приоритет T+0…T+6 мес.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Bus factor 1</w:t>
      </w:r>
      <w:r>
        <w:t xml:space="preserve"> </w:t>
      </w:r>
      <w:r>
        <w:t xml:space="preserve">— депонирование № 4011265 — частичная защита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Equity-only</w:t>
      </w:r>
      <w:r>
        <w:t xml:space="preserve"> </w:t>
      </w:r>
      <w:r>
        <w:t xml:space="preserve">— долговой щит даёт +5–8% NPV (вне Base)</w:t>
      </w:r>
    </w:p>
    <w:p>
      <w:pPr>
        <w:pStyle w:val="FirstParagraph"/>
      </w:pPr>
      <w:r>
        <w:rPr>
          <w:b/>
          <w:bCs/>
        </w:rPr>
        <w:t xml:space="preserve">Checklist приёмки: 20 / 20 — все пункты ДА.</w:t>
      </w:r>
    </w:p>
    <w:p>
      <w:r>
        <w:pict>
          <v:rect style="width:0;height:1.5pt" o:hralign="center" o:hrstd="t" o:hr="t"/>
        </w:pict>
      </w:r>
    </w:p>
    <w:bookmarkEnd w:id="32"/>
    <w:bookmarkStart w:id="33" w:name="допущения-и-ограничения"/>
    <w:p>
      <w:pPr>
        <w:pStyle w:val="Heading1"/>
      </w:pPr>
      <w:r>
        <w:t xml:space="preserve">Допущения и ограничения</w:t>
      </w:r>
    </w:p>
    <w:p>
      <w:pPr>
        <w:pStyle w:val="FirstParagraph"/>
      </w:pPr>
      <w:r>
        <w:rPr>
          <w:b/>
          <w:bCs/>
        </w:rPr>
        <w:t xml:space="preserve">Общие:</w:t>
      </w:r>
    </w:p>
    <w:p>
      <w:pPr>
        <w:pStyle w:val="Compact"/>
        <w:numPr>
          <w:ilvl w:val="0"/>
          <w:numId w:val="1008"/>
        </w:numPr>
      </w:pPr>
      <w:r>
        <w:t xml:space="preserve">Going Concern, без сценария ликвидации</w:t>
      </w:r>
    </w:p>
    <w:p>
      <w:pPr>
        <w:pStyle w:val="Compact"/>
        <w:numPr>
          <w:ilvl w:val="0"/>
          <w:numId w:val="1008"/>
        </w:numPr>
      </w:pPr>
      <w:r>
        <w:t xml:space="preserve">Постоянный WACC 29,5% на 2025–2034 (консервативно)</w:t>
      </w:r>
    </w:p>
    <w:p>
      <w:pPr>
        <w:pStyle w:val="Compact"/>
        <w:numPr>
          <w:ilvl w:val="0"/>
          <w:numId w:val="1008"/>
        </w:numPr>
      </w:pPr>
      <w:r>
        <w:t xml:space="preserve">Линейный USD/RUB по курсу ЦБ РФ</w:t>
      </w:r>
    </w:p>
    <w:p>
      <w:pPr>
        <w:pStyle w:val="Compact"/>
        <w:numPr>
          <w:ilvl w:val="0"/>
          <w:numId w:val="1008"/>
        </w:numPr>
      </w:pPr>
      <w:r>
        <w:t xml:space="preserve">Налог на прибыль 20% (ИТ-льгота 5% вне Base)</w:t>
      </w:r>
    </w:p>
    <w:p>
      <w:pPr>
        <w:pStyle w:val="Compact"/>
        <w:numPr>
          <w:ilvl w:val="0"/>
          <w:numId w:val="1008"/>
        </w:numPr>
      </w:pPr>
      <w:r>
        <w:t xml:space="preserve">Equity-only structure</w:t>
      </w:r>
    </w:p>
    <w:p>
      <w:pPr>
        <w:pStyle w:val="FirstParagraph"/>
      </w:pPr>
      <w:r>
        <w:rPr>
          <w:b/>
          <w:bCs/>
        </w:rPr>
        <w:t xml:space="preserve">Special Assumptions:</w:t>
      </w:r>
    </w:p>
    <w:p>
      <w:pPr>
        <w:pStyle w:val="Compact"/>
        <w:numPr>
          <w:ilvl w:val="0"/>
          <w:numId w:val="1009"/>
        </w:numPr>
      </w:pPr>
      <w:r>
        <w:t xml:space="preserve">Принятие пакета НПА (Stage 2) — Base T+36 мес.</w:t>
      </w:r>
    </w:p>
    <w:p>
      <w:pPr>
        <w:pStyle w:val="Compact"/>
        <w:numPr>
          <w:ilvl w:val="0"/>
          <w:numId w:val="1009"/>
        </w:numPr>
      </w:pPr>
      <w:r>
        <w:t xml:space="preserve">Операторская лицензия ЦБ РФ — T+12…T+18 мес.</w:t>
      </w:r>
    </w:p>
    <w:p>
      <w:pPr>
        <w:pStyle w:val="Compact"/>
        <w:numPr>
          <w:ilvl w:val="0"/>
          <w:numId w:val="1009"/>
        </w:numPr>
      </w:pPr>
      <w:r>
        <w:t xml:space="preserve">Сертификация ФСТЭК / ФСБ — T+18 мес.</w:t>
      </w:r>
    </w:p>
    <w:p>
      <w:pPr>
        <w:pStyle w:val="Compact"/>
        <w:numPr>
          <w:ilvl w:val="0"/>
          <w:numId w:val="1009"/>
        </w:numPr>
      </w:pPr>
      <w:r>
        <w:t xml:space="preserve">Привлечение Series A $15 M — T+6 мес.</w:t>
      </w:r>
    </w:p>
    <w:p>
      <w:pPr>
        <w:pStyle w:val="FirstParagraph"/>
      </w:pPr>
      <w:r>
        <w:rPr>
          <w:b/>
          <w:bCs/>
        </w:rPr>
        <w:t xml:space="preserve">Перепроверка:</w:t>
      </w:r>
      <w:r>
        <w:t xml:space="preserve"> </w:t>
      </w:r>
      <w:r>
        <w:t xml:space="preserve">при изменении КС ЦБ РФ более 200 б.п. или USD/RUB более 10%.</w:t>
      </w:r>
    </w:p>
    <w:p>
      <w:r>
        <w:pict>
          <v:rect style="width:0;height:1.5pt" o:hralign="center" o:hrstd="t" o:hr="t"/>
        </w:pict>
      </w:r>
    </w:p>
    <w:bookmarkEnd w:id="33"/>
    <w:bookmarkStart w:id="34" w:name="источники-и-стандарты"/>
    <w:p>
      <w:pPr>
        <w:pStyle w:val="Heading1"/>
      </w:pPr>
      <w:r>
        <w:t xml:space="preserve">Источники и стандарты</w:t>
      </w:r>
    </w:p>
    <w:p>
      <w:pPr>
        <w:pStyle w:val="FirstParagraph"/>
      </w:pPr>
      <w:r>
        <w:rPr>
          <w:b/>
          <w:bCs/>
        </w:rPr>
        <w:t xml:space="preserve">Макро · РФ:</w:t>
      </w:r>
      <w:r>
        <w:t xml:space="preserve"> </w:t>
      </w:r>
      <w:r>
        <w:t xml:space="preserve">cbr.ru · tradingeconomics · minfin</w:t>
      </w:r>
    </w:p>
    <w:p>
      <w:pPr>
        <w:pStyle w:val="BodyText"/>
      </w:pPr>
      <w:r>
        <w:rPr>
          <w:b/>
          <w:bCs/>
        </w:rPr>
        <w:t xml:space="preserve">Премии за риск:</w:t>
      </w:r>
      <w:r>
        <w:t xml:space="preserve"> </w:t>
      </w:r>
      <w:r>
        <w:t xml:space="preserve">Damodaran ctryprem · SSRN ERP 2026</w:t>
      </w:r>
    </w:p>
    <w:p>
      <w:pPr>
        <w:pStyle w:val="BodyText"/>
      </w:pPr>
      <w:r>
        <w:rPr>
          <w:b/>
          <w:bCs/>
        </w:rPr>
        <w:t xml:space="preserve">Стандарты:</w:t>
      </w:r>
      <w:r>
        <w:t xml:space="preserve"> </w:t>
      </w:r>
      <w:r>
        <w:t xml:space="preserve">IVS 2025 (IVSC) · RICS Red Book 2025 · IFRS 13 (IASB) · ФСО I–VI · 135-ФЗ · 259-ФЗ · 779-П · AICPA SSVS-1 · IPEV · ISO 10668:2010</w:t>
      </w:r>
    </w:p>
    <w:p>
      <w:pPr>
        <w:pStyle w:val="BodyText"/>
      </w:pPr>
      <w:r>
        <w:rPr>
          <w:b/>
          <w:bCs/>
        </w:rPr>
        <w:t xml:space="preserve">Сопоставимые сделки:</w:t>
      </w:r>
      <w:r>
        <w:t xml:space="preserve"> </w:t>
      </w:r>
      <w:r>
        <w:t xml:space="preserve">Securitize.io · Tokeny.com · HQLAx.com · Atomyze.ru · Crunchbase · PitchBook</w:t>
      </w:r>
    </w:p>
    <w:p>
      <w:pPr>
        <w:pStyle w:val="BodyText"/>
      </w:pPr>
      <w:r>
        <w:rPr>
          <w:b/>
          <w:bCs/>
        </w:rPr>
        <w:t xml:space="preserve">Внутренние документы:</w:t>
      </w:r>
      <w:r>
        <w:t xml:space="preserve"> </w:t>
      </w:r>
      <w:r>
        <w:t xml:space="preserve">Финмодель SoT v3 · Сводный аудит post-Горизонт-III · Свидетельство о депонировании № 4011265 от 19.12.2024</w:t>
      </w:r>
    </w:p>
    <w:p>
      <w:r>
        <w:pict>
          <v:rect style="width:0;height:1.5pt" o:hralign="center" o:hrstd="t" o:hr="t"/>
        </w:pict>
      </w:r>
    </w:p>
    <w:bookmarkEnd w:id="34"/>
    <w:bookmarkStart w:id="36" w:name="подпись"/>
    <w:p>
      <w:pPr>
        <w:pStyle w:val="Heading1"/>
      </w:pPr>
      <w:r>
        <w:t xml:space="preserve">Подпись</w:t>
      </w:r>
    </w:p>
    <w:bookmarkStart w:id="35" w:name="m-reasoned-fair-value-26-may-2026"/>
    <w:p>
      <w:pPr>
        <w:pStyle w:val="Heading2"/>
      </w:pPr>
      <w:r>
        <w:t xml:space="preserve">$ 100 M · Reasoned Fair Value · 26 May 2026</w:t>
      </w:r>
    </w:p>
    <w:p>
      <w:pPr>
        <w:pStyle w:val="FirstParagraph"/>
      </w:pPr>
      <w:r>
        <w:rPr>
          <w:b/>
          <w:bCs/>
        </w:rPr>
        <w:t xml:space="preserve">Кагиров Абдул-Хаким Ахмадович (Аслан Каа)</w:t>
      </w:r>
      <w:r>
        <w:t xml:space="preserve"> </w:t>
      </w:r>
      <w:r>
        <w:t xml:space="preserve">Founder · Chief Executive Officer · Center Group Company</w:t>
      </w:r>
    </w:p>
    <w:p>
      <w:pPr>
        <w:pStyle w:val="BodyText"/>
      </w:pPr>
      <w:r>
        <w:t xml:space="preserve">www.aslankaa.com · aslankaa@yandex.ru</w:t>
      </w:r>
      <w:r>
        <w:t xml:space="preserve"> </w:t>
      </w:r>
      <w:r>
        <w:t xml:space="preserve">+7 (969) 795-55-55 · +7 (925) 203-77-77</w:t>
      </w:r>
    </w:p>
    <w:p>
      <w:pPr>
        <w:pStyle w:val="BodyText"/>
      </w:pPr>
      <w:r>
        <w:t xml:space="preserve">CGC-VAL-2026-05-26-ЦПФСР-01 · 27 мая 2026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ЦПФСР — Презентация отчёта об оценке</dc:title>
  <dc:creator>Кагиров Абдул-Хаким Ахмадович (Аслан Каа)</dc:creator>
  <dc:language>ru</dc:language>
  <dc:subject>Valuation Deck — Highest Tier</dc:subject>
  <cp:keywords/>
  <dcterms:created xsi:type="dcterms:W3CDTF">2026-05-26T21:34:32Z</dcterms:created>
  <dcterms:modified xsi:type="dcterms:W3CDTF">2026-05-26T21:34:32Z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27.05.2026</vt:lpwstr>
  </property>
  <property fmtid="{D5CDD505-2E9C-101B-9397-08002B2CF9AE}" pid="3" name="subtitle">
    <vt:lpwstr>Center Group Company · 26 мая 2026</vt:lpwstr>
  </property>
</Properties>
</file>